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492BC">
      <w:pPr>
        <w:pStyle w:val="12"/>
        <w:spacing w:after="156" w:afterLines="50"/>
        <w:rPr>
          <w:color w:val="auto"/>
          <w:sz w:val="44"/>
          <w:szCs w:val="44"/>
          <w:highlight w:val="none"/>
        </w:rPr>
      </w:pPr>
      <w:r>
        <w:rPr>
          <w:rFonts w:hint="eastAsia"/>
          <w:color w:val="auto"/>
          <w:sz w:val="44"/>
          <w:szCs w:val="44"/>
          <w:highlight w:val="none"/>
        </w:rPr>
        <w:t>花源自来水厂取水保障工程专项债券</w:t>
      </w:r>
    </w:p>
    <w:p w14:paraId="2B1C5D8B">
      <w:pPr>
        <w:pStyle w:val="12"/>
        <w:spacing w:after="624" w:afterLines="200"/>
        <w:rPr>
          <w:color w:val="auto"/>
          <w:sz w:val="44"/>
          <w:szCs w:val="44"/>
          <w:highlight w:val="none"/>
        </w:rPr>
      </w:pPr>
      <w:r>
        <w:rPr>
          <w:rFonts w:hint="eastAsia"/>
          <w:color w:val="auto"/>
          <w:sz w:val="44"/>
          <w:szCs w:val="44"/>
          <w:highlight w:val="none"/>
        </w:rPr>
        <w:t>项目情况</w:t>
      </w:r>
    </w:p>
    <w:p w14:paraId="62320D17">
      <w:pPr>
        <w:spacing w:line="560" w:lineRule="exact"/>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一、项目基本情况</w:t>
      </w:r>
    </w:p>
    <w:p w14:paraId="51792349">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（一）市县及行业专项规划概况</w:t>
      </w:r>
    </w:p>
    <w:p w14:paraId="06C73BAE">
      <w:pPr>
        <w:ind w:firstLine="480"/>
        <w:rPr>
          <w:color w:val="auto"/>
          <w:highlight w:val="none"/>
          <w:lang w:bidi="ar"/>
        </w:rPr>
      </w:pPr>
      <w:r>
        <w:rPr>
          <w:rFonts w:hint="eastAsia"/>
          <w:color w:val="auto"/>
          <w:highlight w:val="none"/>
          <w:lang w:val="en-US" w:eastAsia="zh-CN" w:bidi="ar"/>
        </w:rPr>
        <w:t>新津</w:t>
      </w:r>
      <w:r>
        <w:rPr>
          <w:rFonts w:hint="eastAsia"/>
          <w:color w:val="auto"/>
          <w:sz w:val="24"/>
          <w:szCs w:val="28"/>
          <w:highlight w:val="none"/>
        </w:rPr>
        <w:t>县域形成“一心四楔五津,双核七片五点”的空间结构。一心：城市绿心</w:t>
      </w:r>
      <w:r>
        <w:rPr>
          <w:rFonts w:hint="eastAsia"/>
          <w:color w:val="auto"/>
          <w:sz w:val="24"/>
          <w:szCs w:val="28"/>
          <w:highlight w:val="none"/>
          <w:lang w:eastAsia="zh-CN"/>
        </w:rPr>
        <w:t>；</w:t>
      </w:r>
      <w:r>
        <w:rPr>
          <w:rFonts w:hint="eastAsia"/>
          <w:color w:val="auto"/>
          <w:sz w:val="24"/>
          <w:szCs w:val="28"/>
          <w:highlight w:val="none"/>
        </w:rPr>
        <w:t>四楔：牧马山绿楔、宝资山绿楔、西河河滩绿楔、金马河河滩绿楔</w:t>
      </w:r>
      <w:r>
        <w:rPr>
          <w:rFonts w:hint="eastAsia"/>
          <w:color w:val="auto"/>
          <w:sz w:val="24"/>
          <w:szCs w:val="28"/>
          <w:highlight w:val="none"/>
          <w:lang w:eastAsia="zh-CN"/>
        </w:rPr>
        <w:t>；</w:t>
      </w:r>
      <w:r>
        <w:rPr>
          <w:rFonts w:hint="eastAsia"/>
          <w:color w:val="auto"/>
          <w:sz w:val="24"/>
          <w:szCs w:val="28"/>
          <w:highlight w:val="none"/>
        </w:rPr>
        <w:t>五津：西河、金马河、南河、杨柳河、岷江</w:t>
      </w:r>
      <w:r>
        <w:rPr>
          <w:rFonts w:hint="eastAsia"/>
          <w:color w:val="auto"/>
          <w:sz w:val="24"/>
          <w:szCs w:val="28"/>
          <w:highlight w:val="none"/>
          <w:lang w:eastAsia="zh-CN"/>
        </w:rPr>
        <w:t>；</w:t>
      </w:r>
      <w:r>
        <w:rPr>
          <w:rFonts w:hint="eastAsia"/>
          <w:color w:val="auto"/>
          <w:sz w:val="24"/>
          <w:szCs w:val="28"/>
          <w:highlight w:val="none"/>
        </w:rPr>
        <w:t>双核：在老城区和天府新区组团分别构建城市发展核；七片：旧城-南河片区、岷江-邓双片区、天府新区新津分区、普兴北片区、飞行学院片区、牧马山南片区、兴义片区；五点：五个特色镇。</w:t>
      </w:r>
    </w:p>
    <w:p w14:paraId="0ABEE8AE">
      <w:pPr>
        <w:ind w:firstLine="480"/>
        <w:rPr>
          <w:color w:val="auto"/>
          <w:highlight w:val="none"/>
        </w:rPr>
      </w:pPr>
      <w:r>
        <w:rPr>
          <w:rFonts w:hint="eastAsia"/>
          <w:color w:val="auto"/>
          <w:highlight w:val="none"/>
        </w:rPr>
        <w:t>四川省“十四五”规划指出，到2025年，全省城市市政基础设施更加完善，发展短板基本补齐，基础设施运行效能和抗风险能力显著增强。全面建成系统完备、高效实用、智能绿色、安全可靠的现代化基础设施体系，城市基础设施整体性更加完善。提升城市供水安全保障能力，加强供水设施升级改造。构建以引大济岷和长征渠引水工程为骨干、大中小微协调配套的水网体系，提升供水保障能力。加强供水厂、管网和二次供水设施等更新改造力度，修订《四川省城市二次供水管理办法》，规范加强城市建筑二次供水管理，保障用户龙头水水量充沛和水质安全。</w:t>
      </w:r>
    </w:p>
    <w:p w14:paraId="2DC276E8">
      <w:pPr>
        <w:ind w:firstLine="480"/>
        <w:rPr>
          <w:color w:val="auto"/>
          <w:highlight w:val="none"/>
          <w:lang w:bidi="ar"/>
        </w:rPr>
      </w:pPr>
      <w:r>
        <w:rPr>
          <w:rFonts w:hint="eastAsia"/>
          <w:color w:val="auto"/>
          <w:highlight w:val="none"/>
        </w:rPr>
        <w:t>新津区作为成都最年轻的市辖区，当前正着力构建“一轴引领、四区支撑、多片联动”的产城融合发展空间格局。特别是此次选址的天府智能制造产业园，将重点聚焦“智能制造+工业互联”，大力培育先进轨道交通装备产业、工业互联网及智能硬件产业、新能源汽车及储能产业，做大做强以智造为引领的先进制造业集群</w:t>
      </w:r>
      <w:r>
        <w:rPr>
          <w:rFonts w:hint="eastAsia"/>
          <w:color w:val="auto"/>
          <w:highlight w:val="none"/>
          <w:lang w:bidi="ar"/>
        </w:rPr>
        <w:t>。</w:t>
      </w:r>
    </w:p>
    <w:p w14:paraId="604146ED">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（二）项目情况</w:t>
      </w:r>
    </w:p>
    <w:p w14:paraId="093EB194">
      <w:pPr>
        <w:spacing w:line="560" w:lineRule="exact"/>
        <w:ind w:firstLine="643"/>
        <w:rPr>
          <w:rFonts w:ascii="仿宋_GB2312" w:hAnsi="Calibri" w:eastAsia="仿宋_GB2312"/>
          <w:b/>
          <w:color w:val="auto"/>
          <w:sz w:val="32"/>
          <w:szCs w:val="32"/>
          <w:highlight w:val="none"/>
        </w:rPr>
      </w:pPr>
      <w:r>
        <w:rPr>
          <w:rFonts w:hint="eastAsia" w:ascii="仿宋_GB2312" w:hAnsi="Calibri" w:eastAsia="仿宋_GB2312"/>
          <w:b/>
          <w:color w:val="auto"/>
          <w:sz w:val="32"/>
          <w:szCs w:val="32"/>
          <w:highlight w:val="none"/>
        </w:rPr>
        <w:t>1.参与主体</w:t>
      </w:r>
    </w:p>
    <w:p w14:paraId="15487338">
      <w:pPr>
        <w:ind w:firstLine="480"/>
        <w:rPr>
          <w:color w:val="auto"/>
          <w:highlight w:val="none"/>
          <w:lang w:bidi="ar"/>
        </w:rPr>
      </w:pPr>
      <w:r>
        <w:rPr>
          <w:rFonts w:hint="eastAsia"/>
          <w:color w:val="auto"/>
          <w:highlight w:val="none"/>
          <w:lang w:bidi="ar"/>
        </w:rPr>
        <w:t>实施机构（行业主管部门）：</w:t>
      </w:r>
      <w:r>
        <w:rPr>
          <w:rFonts w:hint="eastAsia" w:cs="仿宋"/>
          <w:color w:val="auto"/>
          <w:highlight w:val="none"/>
          <w:lang w:val="en-US" w:eastAsia="zh-CN"/>
        </w:rPr>
        <w:t>成都市新津区水务局</w:t>
      </w:r>
    </w:p>
    <w:p w14:paraId="7D11C205">
      <w:pPr>
        <w:ind w:firstLine="480"/>
        <w:rPr>
          <w:rFonts w:hint="eastAsia" w:eastAsia="仿宋"/>
          <w:color w:val="auto"/>
          <w:highlight w:val="none"/>
          <w:lang w:eastAsia="zh-CN" w:bidi="ar"/>
        </w:rPr>
      </w:pPr>
      <w:r>
        <w:rPr>
          <w:rFonts w:hint="eastAsia"/>
          <w:color w:val="auto"/>
          <w:highlight w:val="none"/>
          <w:lang w:bidi="ar"/>
        </w:rPr>
        <w:t>项目业主：</w:t>
      </w:r>
      <w:r>
        <w:rPr>
          <w:rFonts w:hint="eastAsia"/>
          <w:color w:val="auto"/>
          <w:highlight w:val="none"/>
          <w:lang w:eastAsia="zh-CN" w:bidi="ar"/>
        </w:rPr>
        <w:t>成都市新津岷江生态环境产业发展集团有限公司</w:t>
      </w:r>
      <w:bookmarkStart w:id="3" w:name="_GoBack"/>
      <w:bookmarkEnd w:id="3"/>
    </w:p>
    <w:p w14:paraId="058508D1">
      <w:pPr>
        <w:spacing w:line="560" w:lineRule="exact"/>
        <w:ind w:firstLine="643"/>
        <w:rPr>
          <w:rFonts w:ascii="仿宋_GB2312" w:hAnsi="Calibri" w:eastAsia="仿宋_GB2312"/>
          <w:b/>
          <w:color w:val="auto"/>
          <w:sz w:val="32"/>
          <w:szCs w:val="32"/>
          <w:highlight w:val="none"/>
        </w:rPr>
      </w:pPr>
      <w:r>
        <w:rPr>
          <w:rFonts w:hint="eastAsia" w:ascii="仿宋_GB2312" w:hAnsi="Calibri" w:eastAsia="仿宋_GB2312"/>
          <w:b/>
          <w:color w:val="auto"/>
          <w:sz w:val="32"/>
          <w:szCs w:val="32"/>
          <w:highlight w:val="none"/>
        </w:rPr>
        <w:t>2</w:t>
      </w:r>
      <w:r>
        <w:rPr>
          <w:rFonts w:ascii="仿宋_GB2312" w:hAnsi="Calibri" w:eastAsia="仿宋_GB2312"/>
          <w:b/>
          <w:color w:val="auto"/>
          <w:sz w:val="32"/>
          <w:szCs w:val="32"/>
          <w:highlight w:val="none"/>
        </w:rPr>
        <w:t>.</w:t>
      </w:r>
      <w:r>
        <w:rPr>
          <w:rFonts w:hint="eastAsia" w:ascii="仿宋_GB2312" w:hAnsi="Calibri" w:eastAsia="仿宋_GB2312"/>
          <w:b/>
          <w:color w:val="auto"/>
          <w:sz w:val="32"/>
          <w:szCs w:val="32"/>
          <w:highlight w:val="none"/>
        </w:rPr>
        <w:t>项目概况</w:t>
      </w:r>
    </w:p>
    <w:p w14:paraId="552B774B">
      <w:pPr>
        <w:ind w:firstLine="480"/>
        <w:rPr>
          <w:bCs/>
          <w:color w:val="auto"/>
          <w:kern w:val="0"/>
          <w:highlight w:val="none"/>
        </w:rPr>
      </w:pPr>
      <w:r>
        <w:rPr>
          <w:rFonts w:hint="eastAsia"/>
          <w:bCs/>
          <w:color w:val="auto"/>
          <w:kern w:val="0"/>
          <w:highlight w:val="none"/>
        </w:rPr>
        <w:t>本项目是</w:t>
      </w:r>
      <w:r>
        <w:rPr>
          <w:rFonts w:hint="eastAsia"/>
          <w:bCs/>
          <w:color w:val="auto"/>
          <w:kern w:val="0"/>
          <w:highlight w:val="none"/>
          <w:lang w:val="en-US" w:eastAsia="zh-CN"/>
        </w:rPr>
        <w:t>市政基础设施</w:t>
      </w:r>
      <w:r>
        <w:rPr>
          <w:rFonts w:hint="eastAsia"/>
          <w:bCs/>
          <w:color w:val="auto"/>
          <w:kern w:val="0"/>
          <w:highlight w:val="none"/>
        </w:rPr>
        <w:t>项目，总投资估算为3479.85万元</w:t>
      </w:r>
      <w:r>
        <w:rPr>
          <w:bCs/>
          <w:color w:val="auto"/>
          <w:kern w:val="0"/>
          <w:highlight w:val="none"/>
        </w:rPr>
        <w:t>。项目</w:t>
      </w:r>
      <w:r>
        <w:rPr>
          <w:rFonts w:hint="eastAsia" w:cs="仿宋"/>
          <w:color w:val="auto"/>
          <w:highlight w:val="none"/>
        </w:rPr>
        <w:t>位于</w:t>
      </w:r>
      <w:r>
        <w:rPr>
          <w:rFonts w:hint="eastAsia" w:cs="仿宋"/>
          <w:color w:val="auto"/>
          <w:highlight w:val="none"/>
          <w:lang w:eastAsia="zh-CN"/>
        </w:rPr>
        <w:t>新津区花源街道</w:t>
      </w:r>
      <w:r>
        <w:rPr>
          <w:rFonts w:hint="eastAsia" w:cs="仿宋"/>
          <w:color w:val="auto"/>
          <w:highlight w:val="none"/>
        </w:rPr>
        <w:t>，属于城市建设新区内</w:t>
      </w:r>
      <w:r>
        <w:rPr>
          <w:bCs/>
          <w:color w:val="auto"/>
          <w:kern w:val="0"/>
          <w:highlight w:val="none"/>
        </w:rPr>
        <w:t>，</w:t>
      </w:r>
      <w:r>
        <w:rPr>
          <w:rFonts w:hint="eastAsia"/>
          <w:color w:val="auto"/>
          <w:sz w:val="24"/>
          <w:szCs w:val="28"/>
          <w:highlight w:val="none"/>
        </w:rPr>
        <w:t>水源为金马河渗透水及地下渗水，生产能力2万m</w:t>
      </w:r>
      <w:r>
        <w:rPr>
          <w:rFonts w:hint="eastAsia"/>
          <w:color w:val="auto"/>
          <w:sz w:val="24"/>
          <w:szCs w:val="28"/>
          <w:highlight w:val="none"/>
          <w:vertAlign w:val="superscript"/>
        </w:rPr>
        <w:t>3</w:t>
      </w:r>
      <w:r>
        <w:rPr>
          <w:rFonts w:hint="eastAsia"/>
          <w:color w:val="auto"/>
          <w:sz w:val="24"/>
          <w:szCs w:val="28"/>
          <w:highlight w:val="none"/>
        </w:rPr>
        <w:t>/d，目前已扩建至5.0万m</w:t>
      </w:r>
      <w:r>
        <w:rPr>
          <w:rFonts w:hint="eastAsia"/>
          <w:color w:val="auto"/>
          <w:sz w:val="24"/>
          <w:szCs w:val="28"/>
          <w:highlight w:val="none"/>
          <w:vertAlign w:val="superscript"/>
        </w:rPr>
        <w:t>3</w:t>
      </w:r>
      <w:r>
        <w:rPr>
          <w:rFonts w:hint="eastAsia"/>
          <w:color w:val="auto"/>
          <w:sz w:val="24"/>
          <w:szCs w:val="28"/>
          <w:highlight w:val="none"/>
        </w:rPr>
        <w:t>/d，在保证花源镇用水的同时，可向普兴镇、兴义镇、花桥镇提供部分自来水。根据</w:t>
      </w:r>
      <w:r>
        <w:rPr>
          <w:rFonts w:hint="eastAsia"/>
          <w:snapToGrid w:val="0"/>
          <w:color w:val="auto"/>
          <w:kern w:val="0"/>
          <w:sz w:val="24"/>
          <w:szCs w:val="24"/>
          <w:highlight w:val="none"/>
        </w:rPr>
        <w:t>成都市给水规划</w:t>
      </w:r>
      <w:r>
        <w:rPr>
          <w:rFonts w:hint="eastAsia"/>
          <w:snapToGrid w:val="0"/>
          <w:color w:val="auto"/>
          <w:kern w:val="0"/>
          <w:sz w:val="24"/>
          <w:szCs w:val="24"/>
          <w:highlight w:val="none"/>
          <w:lang w:eastAsia="zh-CN"/>
        </w:rPr>
        <w:t>（</w:t>
      </w:r>
      <w:r>
        <w:rPr>
          <w:rFonts w:hint="eastAsia"/>
          <w:snapToGrid w:val="0"/>
          <w:color w:val="auto"/>
          <w:kern w:val="0"/>
          <w:sz w:val="24"/>
          <w:szCs w:val="24"/>
          <w:highlight w:val="none"/>
          <w:lang w:val="en-US" w:eastAsia="zh-CN"/>
        </w:rPr>
        <w:t>2021~2035），花源水厂规模将扩建至规40万m</w:t>
      </w:r>
      <w:r>
        <w:rPr>
          <w:rFonts w:hint="eastAsia"/>
          <w:snapToGrid w:val="0"/>
          <w:color w:val="auto"/>
          <w:kern w:val="0"/>
          <w:sz w:val="24"/>
          <w:szCs w:val="24"/>
          <w:highlight w:val="none"/>
          <w:vertAlign w:val="superscript"/>
          <w:lang w:val="en-US" w:eastAsia="zh-CN"/>
        </w:rPr>
        <w:t>3</w:t>
      </w:r>
      <w:r>
        <w:rPr>
          <w:rFonts w:hint="eastAsia"/>
          <w:snapToGrid w:val="0"/>
          <w:color w:val="auto"/>
          <w:kern w:val="0"/>
          <w:sz w:val="24"/>
          <w:szCs w:val="24"/>
          <w:highlight w:val="none"/>
          <w:lang w:val="en-US" w:eastAsia="zh-CN"/>
        </w:rPr>
        <w:t>/d，</w:t>
      </w:r>
      <w:r>
        <w:rPr>
          <w:rFonts w:hint="eastAsia"/>
          <w:color w:val="auto"/>
          <w:sz w:val="24"/>
          <w:szCs w:val="28"/>
          <w:highlight w:val="none"/>
        </w:rPr>
        <w:t>用于新津区生产生活用水</w:t>
      </w:r>
      <w:r>
        <w:rPr>
          <w:rFonts w:hint="eastAsia"/>
          <w:snapToGrid w:val="0"/>
          <w:color w:val="auto"/>
          <w:kern w:val="0"/>
          <w:sz w:val="24"/>
          <w:szCs w:val="24"/>
          <w:highlight w:val="none"/>
        </w:rPr>
        <w:t>，</w:t>
      </w:r>
      <w:r>
        <w:rPr>
          <w:rFonts w:hint="eastAsia"/>
          <w:snapToGrid w:val="0"/>
          <w:color w:val="auto"/>
          <w:kern w:val="0"/>
          <w:sz w:val="24"/>
          <w:szCs w:val="24"/>
          <w:highlight w:val="none"/>
          <w:lang w:val="en-US" w:eastAsia="zh-CN"/>
        </w:rPr>
        <w:t>并向天府新区补水。</w:t>
      </w:r>
      <w:r>
        <w:rPr>
          <w:rFonts w:hint="eastAsia"/>
          <w:color w:val="auto"/>
          <w:sz w:val="24"/>
          <w:szCs w:val="28"/>
          <w:highlight w:val="none"/>
        </w:rPr>
        <w:t>年取水总量</w:t>
      </w:r>
      <w:r>
        <w:rPr>
          <w:rFonts w:hint="eastAsia"/>
          <w:snapToGrid w:val="0"/>
          <w:color w:val="auto"/>
          <w:kern w:val="0"/>
          <w:sz w:val="24"/>
          <w:szCs w:val="24"/>
          <w:highlight w:val="none"/>
        </w:rPr>
        <w:t>1.45亿m</w:t>
      </w:r>
      <w:r>
        <w:rPr>
          <w:rFonts w:hint="eastAsia"/>
          <w:snapToGrid w:val="0"/>
          <w:color w:val="auto"/>
          <w:kern w:val="0"/>
          <w:sz w:val="24"/>
          <w:szCs w:val="24"/>
          <w:highlight w:val="none"/>
          <w:vertAlign w:val="superscript"/>
        </w:rPr>
        <w:t>3</w:t>
      </w:r>
      <w:r>
        <w:rPr>
          <w:bCs/>
          <w:color w:val="auto"/>
          <w:kern w:val="0"/>
          <w:highlight w:val="none"/>
        </w:rPr>
        <w:t>。该项目符合控制性详细规划，已取</w:t>
      </w:r>
      <w:r>
        <w:rPr>
          <w:rFonts w:hint="eastAsia"/>
          <w:bCs/>
          <w:color w:val="auto"/>
          <w:kern w:val="0"/>
          <w:highlight w:val="none"/>
          <w:lang w:val="en-US" w:eastAsia="zh-CN"/>
        </w:rPr>
        <w:t>立项批复、用地文件</w:t>
      </w:r>
      <w:r>
        <w:rPr>
          <w:bCs/>
          <w:color w:val="auto"/>
          <w:kern w:val="0"/>
          <w:highlight w:val="none"/>
        </w:rPr>
        <w:t>等合法合规性文件。</w:t>
      </w:r>
    </w:p>
    <w:p w14:paraId="4717B7B8">
      <w:pPr>
        <w:pStyle w:val="14"/>
        <w:rPr>
          <w:color w:val="auto"/>
          <w:highlight w:val="none"/>
        </w:rPr>
      </w:pPr>
    </w:p>
    <w:p w14:paraId="63D3DE32">
      <w:pPr>
        <w:spacing w:line="560" w:lineRule="exact"/>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二、经济社会效益分析</w:t>
      </w:r>
    </w:p>
    <w:p w14:paraId="02819DF5">
      <w:pPr>
        <w:ind w:firstLine="480"/>
        <w:rPr>
          <w:bCs/>
          <w:color w:val="auto"/>
          <w:kern w:val="0"/>
          <w:highlight w:val="none"/>
        </w:rPr>
      </w:pPr>
      <w:bookmarkStart w:id="0" w:name="OLE_LINK52"/>
      <w:r>
        <w:rPr>
          <w:rFonts w:hint="eastAsia"/>
          <w:bCs/>
          <w:color w:val="auto"/>
          <w:kern w:val="0"/>
          <w:highlight w:val="none"/>
        </w:rPr>
        <w:t>在经济效益方面，花源自来水厂取水口提升扩容工程总投资估算为</w:t>
      </w:r>
      <w:r>
        <w:rPr>
          <w:rFonts w:hint="eastAsia"/>
          <w:bCs/>
          <w:color w:val="auto"/>
          <w:kern w:val="0"/>
          <w:highlight w:val="none"/>
          <w:lang w:eastAsia="zh-CN"/>
        </w:rPr>
        <w:t>3479.85</w:t>
      </w:r>
      <w:r>
        <w:rPr>
          <w:bCs/>
          <w:color w:val="auto"/>
          <w:kern w:val="0"/>
          <w:highlight w:val="none"/>
        </w:rPr>
        <w:t>万元。项目建成以后可获得</w:t>
      </w:r>
      <w:r>
        <w:rPr>
          <w:rFonts w:hint="eastAsia"/>
          <w:bCs/>
          <w:color w:val="auto"/>
          <w:kern w:val="0"/>
          <w:highlight w:val="none"/>
        </w:rPr>
        <w:t>供水收入，包含居民生活用水收入、特种行业用水收入和非居民用水收入</w:t>
      </w:r>
      <w:r>
        <w:rPr>
          <w:bCs/>
          <w:color w:val="auto"/>
          <w:kern w:val="0"/>
          <w:highlight w:val="none"/>
        </w:rPr>
        <w:t>，可实现项目收入总计为</w:t>
      </w:r>
      <w:r>
        <w:rPr>
          <w:rFonts w:hint="eastAsia"/>
          <w:bCs/>
          <w:color w:val="auto"/>
          <w:kern w:val="0"/>
          <w:highlight w:val="none"/>
          <w:lang w:eastAsia="zh-CN"/>
        </w:rPr>
        <w:t>26102.61</w:t>
      </w:r>
      <w:r>
        <w:rPr>
          <w:bCs/>
          <w:color w:val="auto"/>
          <w:kern w:val="0"/>
          <w:highlight w:val="none"/>
        </w:rPr>
        <w:t>万元，待本项目全部</w:t>
      </w:r>
      <w:r>
        <w:rPr>
          <w:rFonts w:hint="eastAsia"/>
          <w:bCs/>
          <w:color w:val="auto"/>
          <w:kern w:val="0"/>
          <w:highlight w:val="none"/>
          <w:lang w:eastAsia="zh-CN"/>
        </w:rPr>
        <w:t>2700.00</w:t>
      </w:r>
      <w:r>
        <w:rPr>
          <w:bCs/>
          <w:color w:val="auto"/>
          <w:kern w:val="0"/>
          <w:highlight w:val="none"/>
        </w:rPr>
        <w:t>万元专项债到期时，在偿还到期的债券本息后，将仍有</w:t>
      </w:r>
      <w:r>
        <w:rPr>
          <w:rFonts w:hint="eastAsia"/>
          <w:bCs/>
          <w:color w:val="auto"/>
          <w:kern w:val="0"/>
          <w:highlight w:val="none"/>
          <w:lang w:eastAsia="zh-CN"/>
        </w:rPr>
        <w:t>1313.78</w:t>
      </w:r>
      <w:r>
        <w:rPr>
          <w:bCs/>
          <w:color w:val="auto"/>
          <w:kern w:val="0"/>
          <w:highlight w:val="none"/>
        </w:rPr>
        <w:t>万元的累计现金结余。其中：项目债券本息覆盖倍数为</w:t>
      </w:r>
      <w:r>
        <w:rPr>
          <w:rFonts w:hint="eastAsia"/>
          <w:bCs/>
          <w:color w:val="auto"/>
          <w:kern w:val="0"/>
          <w:highlight w:val="none"/>
          <w:lang w:eastAsia="zh-CN"/>
        </w:rPr>
        <w:t>1.</w:t>
      </w:r>
      <w:r>
        <w:rPr>
          <w:rFonts w:hint="eastAsia"/>
          <w:bCs/>
          <w:color w:val="auto"/>
          <w:kern w:val="0"/>
          <w:highlight w:val="none"/>
          <w:lang w:val="en-US" w:eastAsia="zh-CN"/>
        </w:rPr>
        <w:t>23</w:t>
      </w:r>
      <w:r>
        <w:rPr>
          <w:bCs/>
          <w:color w:val="auto"/>
          <w:kern w:val="0"/>
          <w:highlight w:val="none"/>
        </w:rPr>
        <w:t>倍。预期实现的运营净收入能够合理保障偿还融资本金和利息,能够实现项目收益和融资自求平衡。本项目的完成会使区域交通环境得到优化，将</w:t>
      </w:r>
      <w:r>
        <w:rPr>
          <w:rFonts w:hint="eastAsia"/>
          <w:bCs/>
          <w:color w:val="auto"/>
          <w:kern w:val="0"/>
          <w:highlight w:val="none"/>
        </w:rPr>
        <w:t>带动区域经济发展，带来直接经济效益。满足区域内发展对基础配套设施的需求。</w:t>
      </w:r>
      <w:r>
        <w:rPr>
          <w:rFonts w:hint="eastAsia" w:cs="仿宋"/>
          <w:color w:val="auto"/>
          <w:highlight w:val="none"/>
          <w:lang w:val="en-US" w:eastAsia="zh-CN"/>
        </w:rPr>
        <w:t>市政基础设施建设</w:t>
      </w:r>
      <w:r>
        <w:rPr>
          <w:rFonts w:hint="eastAsia" w:cs="仿宋"/>
          <w:color w:val="auto"/>
          <w:highlight w:val="none"/>
        </w:rPr>
        <w:t>是劳动密集型项目，需要投入大量的人力、物力；建设期间将增加对建筑材料的需求；</w:t>
      </w:r>
      <w:r>
        <w:rPr>
          <w:rFonts w:hint="eastAsia" w:cs="仿宋"/>
          <w:color w:val="auto"/>
          <w:highlight w:val="none"/>
          <w:lang w:val="en-US" w:eastAsia="zh-CN"/>
        </w:rPr>
        <w:t>项目</w:t>
      </w:r>
      <w:r>
        <w:rPr>
          <w:rFonts w:hint="eastAsia" w:cs="仿宋"/>
          <w:color w:val="auto"/>
          <w:highlight w:val="none"/>
        </w:rPr>
        <w:t>建</w:t>
      </w:r>
      <w:r>
        <w:rPr>
          <w:rFonts w:hint="eastAsia" w:cs="仿宋"/>
          <w:color w:val="auto"/>
          <w:highlight w:val="none"/>
          <w:lang w:val="en-US" w:eastAsia="zh-CN"/>
        </w:rPr>
        <w:t>设中</w:t>
      </w:r>
      <w:r>
        <w:rPr>
          <w:rFonts w:hint="eastAsia" w:cs="仿宋"/>
          <w:color w:val="auto"/>
          <w:highlight w:val="none"/>
        </w:rPr>
        <w:t>，将会增加对</w:t>
      </w:r>
      <w:r>
        <w:rPr>
          <w:rFonts w:hint="eastAsia" w:cs="仿宋"/>
          <w:color w:val="auto"/>
          <w:highlight w:val="none"/>
          <w:lang w:val="en-US" w:eastAsia="zh-CN"/>
        </w:rPr>
        <w:t>劳动力</w:t>
      </w:r>
      <w:r>
        <w:rPr>
          <w:rFonts w:hint="eastAsia" w:cs="仿宋"/>
          <w:color w:val="auto"/>
          <w:highlight w:val="none"/>
        </w:rPr>
        <w:t>的需求，提供大量工作岗位，创造更多的就业机会</w:t>
      </w:r>
      <w:r>
        <w:rPr>
          <w:rFonts w:hint="eastAsia"/>
          <w:bCs/>
          <w:color w:val="auto"/>
          <w:kern w:val="0"/>
          <w:highlight w:val="none"/>
        </w:rPr>
        <w:t>。</w:t>
      </w:r>
    </w:p>
    <w:p w14:paraId="74A68DAC">
      <w:pPr>
        <w:ind w:firstLine="480"/>
        <w:rPr>
          <w:rFonts w:hint="eastAsia"/>
          <w:bCs/>
          <w:color w:val="auto"/>
          <w:kern w:val="0"/>
          <w:highlight w:val="none"/>
        </w:rPr>
      </w:pPr>
      <w:r>
        <w:rPr>
          <w:rFonts w:hint="eastAsia"/>
          <w:bCs/>
          <w:color w:val="auto"/>
          <w:kern w:val="0"/>
          <w:highlight w:val="none"/>
        </w:rPr>
        <w:t>在社会效益方面，</w:t>
      </w:r>
      <w:r>
        <w:rPr>
          <w:rFonts w:hint="eastAsia"/>
          <w:color w:val="auto"/>
          <w:highlight w:val="none"/>
        </w:rPr>
        <w:t>成都市新津区城镇经济的发展推动着新城镇建设进程不断加快，居民生活用水量日益增加，供水短缺在很大程度上制约着城镇经济的发展，因此加强水资源管理，进行水资源统一调配，使有限的水资源发挥出更大的效益是非常必须要的。饮水安全问题的解决，可以提高居民的身体素质和健康水平，可以减少饮水不安全人口疾病的发病率。本工程增加片区供水管网，能显著提高新津区天府智能制造产业园的供水安全性</w:t>
      </w:r>
      <w:r>
        <w:rPr>
          <w:rFonts w:hint="eastAsia"/>
          <w:bCs/>
          <w:color w:val="auto"/>
          <w:kern w:val="0"/>
          <w:highlight w:val="none"/>
        </w:rPr>
        <w:t>。</w:t>
      </w:r>
    </w:p>
    <w:p w14:paraId="300C322A">
      <w:pPr>
        <w:pStyle w:val="14"/>
        <w:rPr>
          <w:color w:val="auto"/>
          <w:highlight w:val="none"/>
        </w:rPr>
      </w:pPr>
    </w:p>
    <w:bookmarkEnd w:id="0"/>
    <w:p w14:paraId="23EE6562">
      <w:pPr>
        <w:spacing w:line="560" w:lineRule="exact"/>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三、项目投资估算及资金筹措方案</w:t>
      </w:r>
    </w:p>
    <w:p w14:paraId="73300C20">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（一）投资估算</w:t>
      </w:r>
    </w:p>
    <w:p w14:paraId="68B4A04F">
      <w:pPr>
        <w:ind w:firstLine="480"/>
        <w:rPr>
          <w:color w:val="auto"/>
          <w:highlight w:val="none"/>
        </w:rPr>
      </w:pPr>
      <w:r>
        <w:rPr>
          <w:rFonts w:hint="eastAsia"/>
          <w:color w:val="auto"/>
          <w:highlight w:val="none"/>
        </w:rPr>
        <w:t>项目总投资估算为</w:t>
      </w:r>
      <w:r>
        <w:rPr>
          <w:rFonts w:hint="eastAsia"/>
          <w:color w:val="auto"/>
          <w:highlight w:val="none"/>
          <w:lang w:eastAsia="zh-CN"/>
        </w:rPr>
        <w:t>3479.85</w:t>
      </w:r>
      <w:r>
        <w:rPr>
          <w:color w:val="auto"/>
          <w:highlight w:val="none"/>
        </w:rPr>
        <w:t>万元，其中工程费用为</w:t>
      </w:r>
      <w:r>
        <w:rPr>
          <w:rFonts w:hint="eastAsia"/>
          <w:color w:val="auto"/>
          <w:highlight w:val="none"/>
          <w:lang w:eastAsia="zh-CN"/>
        </w:rPr>
        <w:t>1886.71</w:t>
      </w:r>
      <w:r>
        <w:rPr>
          <w:color w:val="auto"/>
          <w:highlight w:val="none"/>
        </w:rPr>
        <w:t>万元，工程建设其他费用为</w:t>
      </w:r>
      <w:r>
        <w:rPr>
          <w:rFonts w:hint="eastAsia"/>
          <w:color w:val="auto"/>
          <w:highlight w:val="none"/>
          <w:lang w:eastAsia="zh-CN"/>
        </w:rPr>
        <w:t>1280.30</w:t>
      </w:r>
      <w:r>
        <w:rPr>
          <w:color w:val="auto"/>
          <w:highlight w:val="none"/>
        </w:rPr>
        <w:t>万元，基本预备费</w:t>
      </w:r>
      <w:r>
        <w:rPr>
          <w:rFonts w:hint="eastAsia"/>
          <w:color w:val="auto"/>
          <w:highlight w:val="none"/>
        </w:rPr>
        <w:t>191.74</w:t>
      </w:r>
      <w:r>
        <w:rPr>
          <w:color w:val="auto"/>
          <w:highlight w:val="none"/>
        </w:rPr>
        <w:t>万元，建设期融资利息</w:t>
      </w:r>
      <w:r>
        <w:rPr>
          <w:rFonts w:hint="eastAsia"/>
          <w:color w:val="auto"/>
          <w:highlight w:val="none"/>
        </w:rPr>
        <w:t>118.40</w:t>
      </w:r>
      <w:r>
        <w:rPr>
          <w:color w:val="auto"/>
          <w:highlight w:val="none"/>
        </w:rPr>
        <w:t>万元，债券发行费为</w:t>
      </w:r>
      <w:r>
        <w:rPr>
          <w:rFonts w:hint="eastAsia"/>
          <w:color w:val="auto"/>
          <w:highlight w:val="none"/>
        </w:rPr>
        <w:t>2.70</w:t>
      </w:r>
      <w:r>
        <w:rPr>
          <w:color w:val="auto"/>
          <w:highlight w:val="none"/>
        </w:rPr>
        <w:t>万元。</w:t>
      </w:r>
    </w:p>
    <w:p w14:paraId="54E2326D">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（二）资金筹措方案</w:t>
      </w:r>
    </w:p>
    <w:p w14:paraId="5B223056">
      <w:pPr>
        <w:spacing w:line="560" w:lineRule="exact"/>
        <w:ind w:firstLine="643"/>
        <w:rPr>
          <w:rFonts w:ascii="仿宋_GB2312" w:hAnsi="Calibri" w:eastAsia="仿宋_GB2312"/>
          <w:b/>
          <w:color w:val="auto"/>
          <w:sz w:val="32"/>
          <w:szCs w:val="32"/>
          <w:highlight w:val="none"/>
        </w:rPr>
      </w:pPr>
      <w:r>
        <w:rPr>
          <w:rFonts w:ascii="仿宋_GB2312" w:hAnsi="Calibri" w:eastAsia="仿宋_GB2312"/>
          <w:b/>
          <w:color w:val="auto"/>
          <w:sz w:val="32"/>
          <w:szCs w:val="32"/>
          <w:highlight w:val="none"/>
        </w:rPr>
        <w:t>1.</w:t>
      </w:r>
      <w:r>
        <w:rPr>
          <w:rFonts w:hint="eastAsia" w:ascii="仿宋_GB2312" w:hAnsi="Calibri" w:eastAsia="仿宋_GB2312"/>
          <w:b/>
          <w:color w:val="auto"/>
          <w:sz w:val="32"/>
          <w:szCs w:val="32"/>
          <w:highlight w:val="none"/>
        </w:rPr>
        <w:t>资金筹集情况</w:t>
      </w:r>
    </w:p>
    <w:p w14:paraId="7A982A99">
      <w:pPr>
        <w:ind w:firstLine="480"/>
        <w:rPr>
          <w:color w:val="auto"/>
          <w:highlight w:val="none"/>
        </w:rPr>
      </w:pPr>
      <w:r>
        <w:rPr>
          <w:rFonts w:hint="eastAsia"/>
          <w:color w:val="auto"/>
          <w:highlight w:val="none"/>
        </w:rPr>
        <w:t>该项目总投资估算为</w:t>
      </w:r>
      <w:r>
        <w:rPr>
          <w:rFonts w:hint="eastAsia"/>
          <w:color w:val="auto"/>
          <w:highlight w:val="none"/>
          <w:lang w:eastAsia="zh-CN"/>
        </w:rPr>
        <w:t>3479.85</w:t>
      </w:r>
      <w:r>
        <w:rPr>
          <w:color w:val="auto"/>
          <w:highlight w:val="none"/>
        </w:rPr>
        <w:t>万元，资金来源于财政拨款和专项债券资金。其中项目资本金</w:t>
      </w:r>
      <w:r>
        <w:rPr>
          <w:rFonts w:hint="eastAsia" w:cs="仿宋"/>
          <w:color w:val="auto"/>
          <w:highlight w:val="none"/>
          <w:lang w:val="zh-CN"/>
        </w:rPr>
        <w:t>779.85</w:t>
      </w:r>
      <w:r>
        <w:rPr>
          <w:color w:val="auto"/>
          <w:highlight w:val="none"/>
        </w:rPr>
        <w:t>万元，占总投资的</w:t>
      </w:r>
      <w:r>
        <w:rPr>
          <w:rFonts w:hint="eastAsia" w:cs="仿宋"/>
          <w:color w:val="auto"/>
          <w:highlight w:val="none"/>
          <w:lang w:val="zh-CN"/>
        </w:rPr>
        <w:t>22.41%</w:t>
      </w:r>
      <w:r>
        <w:rPr>
          <w:color w:val="auto"/>
          <w:highlight w:val="none"/>
        </w:rPr>
        <w:t>，由财政拨款构成；剩余资金缺口拟通过发行</w:t>
      </w:r>
      <w:r>
        <w:rPr>
          <w:rFonts w:hint="eastAsia"/>
          <w:color w:val="auto"/>
          <w:highlight w:val="none"/>
          <w:lang w:val="zh-CN"/>
        </w:rPr>
        <w:t>2700.00</w:t>
      </w:r>
      <w:r>
        <w:rPr>
          <w:color w:val="auto"/>
          <w:highlight w:val="none"/>
        </w:rPr>
        <w:t>万元专项债券融资，占总投资的</w:t>
      </w:r>
      <w:r>
        <w:rPr>
          <w:rFonts w:hint="eastAsia"/>
          <w:color w:val="auto"/>
          <w:highlight w:val="none"/>
          <w:lang w:val="zh-CN"/>
        </w:rPr>
        <w:t>77.59%</w:t>
      </w:r>
      <w:r>
        <w:rPr>
          <w:color w:val="auto"/>
          <w:highlight w:val="none"/>
        </w:rPr>
        <w:t>，</w:t>
      </w:r>
      <w:r>
        <w:rPr>
          <w:rFonts w:hint="eastAsia"/>
          <w:color w:val="auto"/>
          <w:highlight w:val="none"/>
        </w:rPr>
        <w:t>融资利率为</w:t>
      </w:r>
      <w:r>
        <w:rPr>
          <w:rFonts w:hint="eastAsia"/>
          <w:color w:val="auto"/>
          <w:highlight w:val="none"/>
          <w:lang w:val="en-US" w:eastAsia="zh-CN"/>
        </w:rPr>
        <w:t>3.2</w:t>
      </w:r>
      <w:r>
        <w:rPr>
          <w:rFonts w:hint="eastAsia"/>
          <w:color w:val="auto"/>
          <w:highlight w:val="none"/>
        </w:rPr>
        <w:t>%，融资期限为</w:t>
      </w:r>
      <w:r>
        <w:rPr>
          <w:rFonts w:hint="eastAsia"/>
          <w:color w:val="auto"/>
          <w:highlight w:val="none"/>
          <w:lang w:val="en-US" w:eastAsia="zh-CN"/>
        </w:rPr>
        <w:t>30</w:t>
      </w:r>
      <w:r>
        <w:rPr>
          <w:rFonts w:hint="eastAsia"/>
          <w:color w:val="auto"/>
          <w:highlight w:val="none"/>
        </w:rPr>
        <w:t>年</w:t>
      </w:r>
      <w:r>
        <w:rPr>
          <w:color w:val="auto"/>
          <w:highlight w:val="none"/>
        </w:rPr>
        <w:t>。</w:t>
      </w:r>
    </w:p>
    <w:p w14:paraId="2D644B64">
      <w:pPr>
        <w:spacing w:line="560" w:lineRule="exact"/>
        <w:ind w:firstLine="643"/>
        <w:rPr>
          <w:rFonts w:ascii="仿宋_GB2312" w:hAnsi="Calibri" w:eastAsia="仿宋_GB2312"/>
          <w:b/>
          <w:color w:val="auto"/>
          <w:sz w:val="32"/>
          <w:szCs w:val="32"/>
          <w:highlight w:val="none"/>
        </w:rPr>
      </w:pPr>
      <w:r>
        <w:rPr>
          <w:rFonts w:hint="eastAsia" w:ascii="仿宋_GB2312" w:hAnsi="Calibri" w:eastAsia="仿宋_GB2312"/>
          <w:b/>
          <w:color w:val="auto"/>
          <w:sz w:val="32"/>
          <w:szCs w:val="32"/>
          <w:highlight w:val="none"/>
        </w:rPr>
        <w:t>2.资金使用计划</w:t>
      </w:r>
    </w:p>
    <w:p w14:paraId="50F1CE5C">
      <w:pPr>
        <w:ind w:firstLine="480"/>
        <w:rPr>
          <w:color w:val="auto"/>
          <w:highlight w:val="none"/>
        </w:rPr>
      </w:pPr>
      <w:r>
        <w:rPr>
          <w:rFonts w:hint="eastAsia"/>
          <w:color w:val="auto"/>
          <w:highlight w:val="none"/>
        </w:rPr>
        <w:t>根据项目建设进度及建设内容和业主的资金安排，项目建设资金将在前</w:t>
      </w:r>
      <w:r>
        <w:rPr>
          <w:rFonts w:hint="eastAsia"/>
          <w:color w:val="auto"/>
          <w:highlight w:val="none"/>
          <w:lang w:val="en-US" w:eastAsia="zh-CN"/>
        </w:rPr>
        <w:t>2</w:t>
      </w:r>
      <w:r>
        <w:rPr>
          <w:rFonts w:hint="eastAsia"/>
          <w:color w:val="auto"/>
          <w:highlight w:val="none"/>
        </w:rPr>
        <w:t>年投入，建设计划、资金使用与投资计划相匹配。本项目</w:t>
      </w:r>
      <w:r>
        <w:rPr>
          <w:rFonts w:hint="eastAsia"/>
          <w:color w:val="auto"/>
          <w:highlight w:val="none"/>
          <w:lang w:bidi="ar"/>
        </w:rPr>
        <w:t>施工划分为</w:t>
      </w:r>
      <w:r>
        <w:rPr>
          <w:rFonts w:hint="eastAsia"/>
          <w:color w:val="auto"/>
          <w:highlight w:val="none"/>
          <w:lang w:val="en-US" w:eastAsia="zh-CN" w:bidi="ar"/>
        </w:rPr>
        <w:t>2</w:t>
      </w:r>
      <w:r>
        <w:rPr>
          <w:rFonts w:hint="eastAsia"/>
          <w:color w:val="auto"/>
          <w:highlight w:val="none"/>
          <w:lang w:bidi="ar"/>
        </w:rPr>
        <w:t>个阶段，耗时</w:t>
      </w:r>
      <w:r>
        <w:rPr>
          <w:rFonts w:hint="eastAsia"/>
          <w:color w:val="auto"/>
          <w:highlight w:val="none"/>
          <w:lang w:val="en-US" w:eastAsia="zh-CN" w:bidi="ar"/>
        </w:rPr>
        <w:t>2</w:t>
      </w:r>
      <w:r>
        <w:rPr>
          <w:rFonts w:hint="eastAsia"/>
          <w:color w:val="auto"/>
          <w:highlight w:val="none"/>
          <w:lang w:bidi="ar"/>
        </w:rPr>
        <w:t>年</w:t>
      </w:r>
      <w:r>
        <w:rPr>
          <w:rFonts w:hint="eastAsia"/>
          <w:color w:val="auto"/>
          <w:highlight w:val="none"/>
        </w:rPr>
        <w:t>（含前期工作时间）。从</w:t>
      </w:r>
      <w:r>
        <w:rPr>
          <w:rFonts w:hint="eastAsia"/>
          <w:color w:val="auto"/>
          <w:highlight w:val="none"/>
          <w:lang w:val="en-US" w:eastAsia="zh-CN"/>
        </w:rPr>
        <w:t>2025</w:t>
      </w:r>
      <w:r>
        <w:rPr>
          <w:color w:val="auto"/>
          <w:highlight w:val="none"/>
        </w:rPr>
        <w:t>年</w:t>
      </w:r>
      <w:r>
        <w:rPr>
          <w:rFonts w:hint="eastAsia"/>
          <w:color w:val="auto"/>
          <w:highlight w:val="none"/>
          <w:lang w:val="en-US" w:eastAsia="zh-CN"/>
        </w:rPr>
        <w:t>8</w:t>
      </w:r>
      <w:r>
        <w:rPr>
          <w:color w:val="auto"/>
          <w:highlight w:val="none"/>
        </w:rPr>
        <w:t>月初开始施工建设，</w:t>
      </w:r>
      <w:r>
        <w:rPr>
          <w:rFonts w:hint="eastAsia"/>
          <w:color w:val="auto"/>
          <w:highlight w:val="none"/>
          <w:lang w:val="en-US" w:eastAsia="zh-CN"/>
        </w:rPr>
        <w:t>2027</w:t>
      </w:r>
      <w:r>
        <w:rPr>
          <w:color w:val="auto"/>
          <w:highlight w:val="none"/>
        </w:rPr>
        <w:t>年</w:t>
      </w:r>
      <w:r>
        <w:rPr>
          <w:rFonts w:hint="eastAsia"/>
          <w:color w:val="auto"/>
          <w:highlight w:val="none"/>
          <w:lang w:val="en-US" w:eastAsia="zh-CN"/>
        </w:rPr>
        <w:t>7</w:t>
      </w:r>
      <w:r>
        <w:rPr>
          <w:color w:val="auto"/>
          <w:highlight w:val="none"/>
        </w:rPr>
        <w:t>月完成竣工验收。工程施工阶段在</w:t>
      </w:r>
      <w:r>
        <w:rPr>
          <w:rFonts w:hint="eastAsia"/>
          <w:color w:val="auto"/>
          <w:highlight w:val="none"/>
          <w:lang w:val="en-US" w:eastAsia="zh-CN"/>
        </w:rPr>
        <w:t>2027</w:t>
      </w:r>
      <w:r>
        <w:rPr>
          <w:color w:val="auto"/>
          <w:highlight w:val="none"/>
        </w:rPr>
        <w:t>年</w:t>
      </w:r>
      <w:r>
        <w:rPr>
          <w:rFonts w:hint="eastAsia"/>
          <w:color w:val="auto"/>
          <w:highlight w:val="none"/>
          <w:lang w:val="en-US" w:eastAsia="zh-CN"/>
        </w:rPr>
        <w:t>7</w:t>
      </w:r>
      <w:r>
        <w:rPr>
          <w:color w:val="auto"/>
          <w:highlight w:val="none"/>
        </w:rPr>
        <w:t>月前完成，于</w:t>
      </w:r>
      <w:r>
        <w:rPr>
          <w:rFonts w:hint="eastAsia"/>
          <w:color w:val="auto"/>
          <w:highlight w:val="none"/>
          <w:lang w:val="en-US" w:eastAsia="zh-CN"/>
        </w:rPr>
        <w:t>2027</w:t>
      </w:r>
      <w:r>
        <w:rPr>
          <w:color w:val="auto"/>
          <w:highlight w:val="none"/>
        </w:rPr>
        <w:t>年</w:t>
      </w:r>
      <w:r>
        <w:rPr>
          <w:rFonts w:hint="eastAsia"/>
          <w:color w:val="auto"/>
          <w:highlight w:val="none"/>
          <w:lang w:val="en-US" w:eastAsia="zh-CN"/>
        </w:rPr>
        <w:t>7</w:t>
      </w:r>
      <w:r>
        <w:rPr>
          <w:color w:val="auto"/>
          <w:highlight w:val="none"/>
        </w:rPr>
        <w:t>月，项目竣工验收，并交付使用。</w:t>
      </w:r>
      <w:r>
        <w:rPr>
          <w:rFonts w:hint="eastAsia"/>
          <w:color w:val="auto"/>
          <w:highlight w:val="none"/>
        </w:rPr>
        <w:t>按照建设进度，建设期第</w:t>
      </w:r>
      <w:r>
        <w:rPr>
          <w:rFonts w:hint="eastAsia"/>
          <w:color w:val="auto"/>
          <w:highlight w:val="none"/>
          <w:lang w:val="en-US" w:eastAsia="zh-CN"/>
        </w:rPr>
        <w:t>1</w:t>
      </w:r>
      <w:r>
        <w:rPr>
          <w:rFonts w:hint="eastAsia"/>
          <w:color w:val="auto"/>
          <w:highlight w:val="none"/>
        </w:rPr>
        <w:t>年（含以前年度）计划投资</w:t>
      </w:r>
      <w:r>
        <w:rPr>
          <w:rFonts w:hint="eastAsia"/>
          <w:color w:val="auto"/>
          <w:highlight w:val="none"/>
          <w:lang w:val="en-US" w:eastAsia="zh-CN"/>
        </w:rPr>
        <w:t>1277.08</w:t>
      </w:r>
      <w:r>
        <w:rPr>
          <w:rFonts w:hint="eastAsia"/>
          <w:color w:val="auto"/>
          <w:highlight w:val="none"/>
        </w:rPr>
        <w:t>万元，第</w:t>
      </w:r>
      <w:r>
        <w:rPr>
          <w:rFonts w:hint="eastAsia"/>
          <w:color w:val="auto"/>
          <w:highlight w:val="none"/>
          <w:lang w:val="en-US" w:eastAsia="zh-CN"/>
        </w:rPr>
        <w:t>2</w:t>
      </w:r>
      <w:r>
        <w:rPr>
          <w:rFonts w:hint="eastAsia"/>
          <w:color w:val="auto"/>
          <w:highlight w:val="none"/>
        </w:rPr>
        <w:t>年计划投资</w:t>
      </w:r>
      <w:r>
        <w:rPr>
          <w:rFonts w:hint="eastAsia"/>
          <w:color w:val="auto"/>
          <w:highlight w:val="none"/>
          <w:lang w:val="en-US" w:eastAsia="zh-CN"/>
        </w:rPr>
        <w:t>2202.77</w:t>
      </w:r>
      <w:r>
        <w:rPr>
          <w:rFonts w:hint="eastAsia"/>
          <w:color w:val="auto"/>
          <w:highlight w:val="none"/>
        </w:rPr>
        <w:t>万元。</w:t>
      </w:r>
    </w:p>
    <w:p w14:paraId="14593986">
      <w:pPr>
        <w:pStyle w:val="30"/>
        <w:rPr>
          <w:rFonts w:hint="eastAsia"/>
          <w:color w:val="auto"/>
          <w:highlight w:val="none"/>
        </w:rPr>
      </w:pPr>
      <w:r>
        <w:rPr>
          <w:rFonts w:hint="eastAsia"/>
          <w:color w:val="auto"/>
          <w:highlight w:val="none"/>
          <w:lang w:bidi="ar"/>
        </w:rPr>
        <w:t>资金使用计划表（</w:t>
      </w:r>
      <w:r>
        <w:rPr>
          <w:rFonts w:hint="eastAsia"/>
          <w:color w:val="auto"/>
          <w:highlight w:val="none"/>
        </w:rPr>
        <w:t>金额单位：</w:t>
      </w:r>
      <w:r>
        <w:rPr>
          <w:rFonts w:hint="eastAsia"/>
          <w:color w:val="auto"/>
          <w:highlight w:val="none"/>
          <w:lang w:val="zh-CN"/>
        </w:rPr>
        <w:t>人民币</w:t>
      </w:r>
      <w:r>
        <w:rPr>
          <w:rFonts w:hint="eastAsia"/>
          <w:color w:val="auto"/>
          <w:highlight w:val="none"/>
        </w:rPr>
        <w:t>万元）</w:t>
      </w:r>
    </w:p>
    <w:tbl>
      <w:tblPr>
        <w:tblStyle w:val="15"/>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6"/>
        <w:gridCol w:w="1021"/>
        <w:gridCol w:w="1033"/>
        <w:gridCol w:w="1910"/>
        <w:gridCol w:w="2103"/>
        <w:gridCol w:w="1036"/>
      </w:tblGrid>
      <w:tr w14:paraId="724C8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jc w:val="center"/>
        </w:trPr>
        <w:tc>
          <w:tcPr>
            <w:tcW w:w="83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8D49E">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序号</w:t>
            </w:r>
          </w:p>
        </w:tc>
        <w:tc>
          <w:tcPr>
            <w:tcW w:w="5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7C48E">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项目名称</w:t>
            </w:r>
          </w:p>
        </w:tc>
        <w:tc>
          <w:tcPr>
            <w:tcW w:w="6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AB802">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合计</w:t>
            </w:r>
          </w:p>
        </w:tc>
        <w:tc>
          <w:tcPr>
            <w:tcW w:w="235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BF8E">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资金来源及分年使用计划</w:t>
            </w:r>
          </w:p>
        </w:tc>
        <w:tc>
          <w:tcPr>
            <w:tcW w:w="60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083AB">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比例</w:t>
            </w:r>
          </w:p>
        </w:tc>
      </w:tr>
      <w:tr w14:paraId="278D3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jc w:val="center"/>
        </w:trPr>
        <w:tc>
          <w:tcPr>
            <w:tcW w:w="8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AE548">
            <w:pPr>
              <w:spacing w:line="240" w:lineRule="auto"/>
              <w:ind w:firstLine="0" w:firstLineChars="0"/>
              <w:jc w:val="center"/>
              <w:rPr>
                <w:rFonts w:hint="eastAsia" w:ascii="仿宋" w:hAnsi="仿宋" w:eastAsia="仿宋" w:cs="仿宋"/>
                <w:b/>
                <w:bCs/>
                <w:i w:val="0"/>
                <w:iCs w:val="0"/>
                <w:color w:val="auto"/>
                <w:sz w:val="20"/>
                <w:szCs w:val="20"/>
                <w:highlight w:val="none"/>
                <w:u w:val="none"/>
              </w:rPr>
            </w:pPr>
          </w:p>
        </w:tc>
        <w:tc>
          <w:tcPr>
            <w:tcW w:w="5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CF8FF">
            <w:pPr>
              <w:spacing w:line="240" w:lineRule="auto"/>
              <w:ind w:firstLine="0" w:firstLineChars="0"/>
              <w:jc w:val="center"/>
              <w:rPr>
                <w:rFonts w:hint="eastAsia" w:ascii="仿宋" w:hAnsi="仿宋" w:eastAsia="仿宋" w:cs="仿宋"/>
                <w:b/>
                <w:bCs/>
                <w:i w:val="0"/>
                <w:iCs w:val="0"/>
                <w:color w:val="auto"/>
                <w:sz w:val="20"/>
                <w:szCs w:val="20"/>
                <w:highlight w:val="none"/>
                <w:u w:val="none"/>
              </w:rPr>
            </w:pPr>
          </w:p>
        </w:tc>
        <w:tc>
          <w:tcPr>
            <w:tcW w:w="6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0250F">
            <w:pPr>
              <w:spacing w:line="240" w:lineRule="auto"/>
              <w:ind w:firstLine="0" w:firstLineChars="0"/>
              <w:jc w:val="center"/>
              <w:rPr>
                <w:rFonts w:hint="eastAsia" w:ascii="仿宋" w:hAnsi="仿宋" w:eastAsia="仿宋" w:cs="仿宋"/>
                <w:b/>
                <w:bCs/>
                <w:i w:val="0"/>
                <w:iCs w:val="0"/>
                <w:color w:val="auto"/>
                <w:sz w:val="20"/>
                <w:szCs w:val="20"/>
                <w:highlight w:val="none"/>
                <w:u w:val="none"/>
              </w:rPr>
            </w:pPr>
          </w:p>
        </w:tc>
        <w:tc>
          <w:tcPr>
            <w:tcW w:w="11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F9123">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第一年</w:t>
            </w: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E7EC0">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第二年</w:t>
            </w:r>
          </w:p>
        </w:tc>
        <w:tc>
          <w:tcPr>
            <w:tcW w:w="6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C172D">
            <w:pPr>
              <w:spacing w:line="240" w:lineRule="auto"/>
              <w:ind w:firstLine="0" w:firstLineChars="0"/>
              <w:jc w:val="center"/>
              <w:rPr>
                <w:rFonts w:hint="eastAsia" w:ascii="仿宋" w:hAnsi="仿宋" w:eastAsia="仿宋" w:cs="仿宋"/>
                <w:b/>
                <w:bCs/>
                <w:i w:val="0"/>
                <w:iCs w:val="0"/>
                <w:color w:val="auto"/>
                <w:sz w:val="20"/>
                <w:szCs w:val="20"/>
                <w:highlight w:val="none"/>
                <w:u w:val="none"/>
              </w:rPr>
            </w:pPr>
          </w:p>
        </w:tc>
      </w:tr>
      <w:tr w14:paraId="2280E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83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C551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项目投资</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174D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项目建设总投资</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C361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3358.75</w:t>
            </w:r>
          </w:p>
        </w:tc>
        <w:tc>
          <w:tcPr>
            <w:tcW w:w="11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ADE5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1244.08</w:t>
            </w: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2CF4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2114.67</w:t>
            </w: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C9F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96.52%</w:t>
            </w:r>
          </w:p>
        </w:tc>
      </w:tr>
      <w:tr w14:paraId="75100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8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4988F">
            <w:pPr>
              <w:spacing w:line="240" w:lineRule="auto"/>
              <w:ind w:firstLine="0" w:firstLineChars="0"/>
              <w:jc w:val="center"/>
              <w:rPr>
                <w:rFonts w:hint="eastAsia" w:ascii="仿宋" w:hAnsi="仿宋" w:eastAsia="仿宋" w:cs="仿宋"/>
                <w:i w:val="0"/>
                <w:iCs w:val="0"/>
                <w:color w:val="auto"/>
                <w:sz w:val="20"/>
                <w:szCs w:val="20"/>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5E47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项目建设期发债利息</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6C17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118.40</w:t>
            </w:r>
          </w:p>
        </w:tc>
        <w:tc>
          <w:tcPr>
            <w:tcW w:w="11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4627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32.00</w:t>
            </w: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536A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86.40</w:t>
            </w: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BEE4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3.40%</w:t>
            </w:r>
          </w:p>
        </w:tc>
      </w:tr>
      <w:tr w14:paraId="2C1EA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8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CA898">
            <w:pPr>
              <w:spacing w:line="240" w:lineRule="auto"/>
              <w:ind w:firstLine="0" w:firstLineChars="0"/>
              <w:jc w:val="center"/>
              <w:rPr>
                <w:rFonts w:hint="eastAsia" w:ascii="仿宋" w:hAnsi="仿宋" w:eastAsia="仿宋" w:cs="仿宋"/>
                <w:i w:val="0"/>
                <w:iCs w:val="0"/>
                <w:color w:val="auto"/>
                <w:sz w:val="20"/>
                <w:szCs w:val="20"/>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24C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债券发行费</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F935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2.70</w:t>
            </w:r>
          </w:p>
        </w:tc>
        <w:tc>
          <w:tcPr>
            <w:tcW w:w="11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0CB8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1.00</w:t>
            </w: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FEB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1.70</w:t>
            </w: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03F6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0.08%</w:t>
            </w:r>
          </w:p>
        </w:tc>
      </w:tr>
      <w:tr w14:paraId="2E6E2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8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BED4C">
            <w:pPr>
              <w:spacing w:line="240" w:lineRule="auto"/>
              <w:ind w:firstLine="0" w:firstLineChars="0"/>
              <w:jc w:val="center"/>
              <w:rPr>
                <w:rFonts w:hint="eastAsia" w:ascii="仿宋" w:hAnsi="仿宋" w:eastAsia="仿宋" w:cs="仿宋"/>
                <w:i w:val="0"/>
                <w:iCs w:val="0"/>
                <w:color w:val="auto"/>
                <w:sz w:val="20"/>
                <w:szCs w:val="20"/>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D861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项目总投资</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46E1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3479.85</w:t>
            </w:r>
          </w:p>
        </w:tc>
        <w:tc>
          <w:tcPr>
            <w:tcW w:w="11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F8E1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1277.08</w:t>
            </w: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0C30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2202.77</w:t>
            </w: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BA15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100.00%</w:t>
            </w:r>
          </w:p>
        </w:tc>
      </w:tr>
      <w:tr w14:paraId="3AE72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jc w:val="center"/>
        </w:trPr>
        <w:tc>
          <w:tcPr>
            <w:tcW w:w="83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C0BD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资金使用计划</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E6EE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资本金</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4475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779.85</w:t>
            </w:r>
          </w:p>
        </w:tc>
        <w:tc>
          <w:tcPr>
            <w:tcW w:w="11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E47C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277.08</w:t>
            </w: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8D45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502.77</w:t>
            </w: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23B0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22.41%</w:t>
            </w:r>
          </w:p>
        </w:tc>
      </w:tr>
      <w:tr w14:paraId="41B41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8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11443">
            <w:pPr>
              <w:spacing w:line="240" w:lineRule="auto"/>
              <w:ind w:firstLine="0" w:firstLineChars="0"/>
              <w:jc w:val="center"/>
              <w:rPr>
                <w:rFonts w:hint="eastAsia" w:ascii="仿宋" w:hAnsi="仿宋" w:eastAsia="仿宋" w:cs="仿宋"/>
                <w:i w:val="0"/>
                <w:iCs w:val="0"/>
                <w:color w:val="auto"/>
                <w:sz w:val="20"/>
                <w:szCs w:val="20"/>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D1D4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发行债券</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C754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2700.00</w:t>
            </w:r>
          </w:p>
        </w:tc>
        <w:tc>
          <w:tcPr>
            <w:tcW w:w="11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9E66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1000.00</w:t>
            </w: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1726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1700.00</w:t>
            </w: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A667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77.59%</w:t>
            </w:r>
          </w:p>
        </w:tc>
      </w:tr>
      <w:tr w14:paraId="080FC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8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FF5A4">
            <w:pPr>
              <w:spacing w:line="240" w:lineRule="auto"/>
              <w:ind w:firstLine="0" w:firstLineChars="0"/>
              <w:jc w:val="center"/>
              <w:rPr>
                <w:rFonts w:hint="eastAsia" w:ascii="仿宋" w:hAnsi="仿宋" w:eastAsia="仿宋" w:cs="仿宋"/>
                <w:i w:val="0"/>
                <w:iCs w:val="0"/>
                <w:color w:val="auto"/>
                <w:sz w:val="20"/>
                <w:szCs w:val="20"/>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D6D1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资金使用合计</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B713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3479.85</w:t>
            </w:r>
          </w:p>
        </w:tc>
        <w:tc>
          <w:tcPr>
            <w:tcW w:w="11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357E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1277.08</w:t>
            </w: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DA7C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2202.77</w:t>
            </w: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7003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100.00%</w:t>
            </w:r>
          </w:p>
        </w:tc>
      </w:tr>
    </w:tbl>
    <w:p w14:paraId="578A4D3D">
      <w:pPr>
        <w:pStyle w:val="30"/>
        <w:rPr>
          <w:rFonts w:hint="eastAsia"/>
          <w:color w:val="auto"/>
          <w:highlight w:val="none"/>
        </w:rPr>
      </w:pPr>
    </w:p>
    <w:p w14:paraId="2FE818CF">
      <w:pPr>
        <w:spacing w:line="560" w:lineRule="exact"/>
        <w:ind w:firstLine="640"/>
        <w:rPr>
          <w:rFonts w:hint="eastAsia" w:ascii="黑体" w:hAnsi="黑体" w:eastAsia="黑体"/>
          <w:color w:val="auto"/>
          <w:sz w:val="32"/>
          <w:szCs w:val="32"/>
          <w:highlight w:val="none"/>
        </w:rPr>
      </w:pPr>
    </w:p>
    <w:p w14:paraId="1AE2E69B">
      <w:pPr>
        <w:spacing w:line="560" w:lineRule="exact"/>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四、项目预期收益、成本及融资平衡情况</w:t>
      </w:r>
    </w:p>
    <w:p w14:paraId="0FDE1C17">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（一）预期收益</w:t>
      </w:r>
    </w:p>
    <w:p w14:paraId="0193249B">
      <w:pPr>
        <w:spacing w:line="560" w:lineRule="exact"/>
        <w:ind w:firstLine="643"/>
        <w:rPr>
          <w:rFonts w:ascii="仿宋_GB2312" w:hAnsi="Calibri" w:eastAsia="仿宋_GB2312"/>
          <w:b/>
          <w:color w:val="auto"/>
          <w:sz w:val="32"/>
          <w:szCs w:val="32"/>
          <w:highlight w:val="none"/>
        </w:rPr>
      </w:pPr>
      <w:r>
        <w:rPr>
          <w:rFonts w:hint="eastAsia" w:ascii="仿宋_GB2312" w:hAnsi="Calibri" w:eastAsia="仿宋_GB2312"/>
          <w:b/>
          <w:color w:val="auto"/>
          <w:sz w:val="32"/>
          <w:szCs w:val="32"/>
          <w:highlight w:val="none"/>
        </w:rPr>
        <w:t>1.项目收入</w:t>
      </w:r>
    </w:p>
    <w:p w14:paraId="257A06EA">
      <w:pPr>
        <w:ind w:firstLine="480"/>
        <w:rPr>
          <w:color w:val="auto"/>
          <w:highlight w:val="none"/>
        </w:rPr>
      </w:pPr>
      <w:bookmarkStart w:id="1" w:name="_Hlk43423686"/>
      <w:bookmarkStart w:id="2" w:name="_Hlk41910341"/>
      <w:r>
        <w:rPr>
          <w:rFonts w:hint="eastAsia"/>
          <w:color w:val="auto"/>
          <w:highlight w:val="none"/>
        </w:rPr>
        <w:t>花源自来水厂取水保障工程收入来源主要为项目建成后供水收入，包含居民生活用水收入、特种行业用水收入和非居民用水收入。项目运营期内运营收入合计</w:t>
      </w:r>
      <w:r>
        <w:rPr>
          <w:rFonts w:hint="eastAsia"/>
          <w:color w:val="auto"/>
          <w:highlight w:val="none"/>
          <w:lang w:val="en-US" w:eastAsia="zh-CN"/>
        </w:rPr>
        <w:t>26102.61</w:t>
      </w:r>
      <w:r>
        <w:rPr>
          <w:color w:val="auto"/>
          <w:highlight w:val="none"/>
        </w:rPr>
        <w:t>万元，属于专项收入，纳入政府性基金预算管理。项目收入来源有事实依据，整体具有可行性。</w:t>
      </w:r>
    </w:p>
    <w:bookmarkEnd w:id="1"/>
    <w:p w14:paraId="0506D715">
      <w:pPr>
        <w:spacing w:line="560" w:lineRule="exact"/>
        <w:ind w:firstLine="643"/>
        <w:rPr>
          <w:rFonts w:ascii="仿宋_GB2312" w:hAnsi="Calibri" w:eastAsia="仿宋_GB2312"/>
          <w:b/>
          <w:color w:val="auto"/>
          <w:sz w:val="32"/>
          <w:szCs w:val="32"/>
          <w:highlight w:val="none"/>
        </w:rPr>
      </w:pPr>
      <w:r>
        <w:rPr>
          <w:rFonts w:hint="eastAsia" w:ascii="仿宋_GB2312" w:hAnsi="Calibri" w:eastAsia="仿宋_GB2312"/>
          <w:b/>
          <w:color w:val="auto"/>
          <w:sz w:val="32"/>
          <w:szCs w:val="32"/>
          <w:highlight w:val="none"/>
        </w:rPr>
        <w:t>2.项目成本</w:t>
      </w:r>
    </w:p>
    <w:p w14:paraId="36855ABA">
      <w:pPr>
        <w:numPr>
          <w:ilvl w:val="0"/>
          <w:numId w:val="1"/>
        </w:numPr>
        <w:ind w:firstLine="480"/>
        <w:rPr>
          <w:bCs/>
          <w:color w:val="auto"/>
          <w:kern w:val="0"/>
          <w:highlight w:val="none"/>
        </w:rPr>
      </w:pPr>
      <w:r>
        <w:rPr>
          <w:rFonts w:hint="eastAsia"/>
          <w:bCs/>
          <w:color w:val="auto"/>
          <w:kern w:val="0"/>
          <w:highlight w:val="none"/>
        </w:rPr>
        <w:t>本项目建成后运营期间的成本费用，共计22898.86</w:t>
      </w:r>
      <w:r>
        <w:rPr>
          <w:bCs/>
          <w:color w:val="auto"/>
          <w:kern w:val="0"/>
          <w:highlight w:val="none"/>
        </w:rPr>
        <w:t>万元，主要包括</w:t>
      </w:r>
      <w:r>
        <w:rPr>
          <w:rFonts w:hint="eastAsia"/>
          <w:color w:val="auto"/>
          <w:highlight w:val="none"/>
          <w:lang w:val="en-US" w:eastAsia="zh-CN"/>
        </w:rPr>
        <w:t>药剂费用</w:t>
      </w:r>
      <w:r>
        <w:rPr>
          <w:bCs/>
          <w:color w:val="auto"/>
          <w:kern w:val="0"/>
          <w:highlight w:val="none"/>
        </w:rPr>
        <w:t>、</w:t>
      </w:r>
      <w:r>
        <w:rPr>
          <w:rFonts w:hint="eastAsia"/>
          <w:color w:val="auto"/>
          <w:highlight w:val="none"/>
          <w:lang w:val="en-US" w:eastAsia="zh-CN"/>
        </w:rPr>
        <w:t>水费</w:t>
      </w:r>
      <w:r>
        <w:rPr>
          <w:bCs/>
          <w:color w:val="auto"/>
          <w:kern w:val="0"/>
          <w:highlight w:val="none"/>
        </w:rPr>
        <w:t>、</w:t>
      </w:r>
      <w:r>
        <w:rPr>
          <w:rFonts w:hint="eastAsia"/>
          <w:color w:val="auto"/>
          <w:highlight w:val="none"/>
          <w:lang w:val="en-US" w:eastAsia="zh-CN"/>
        </w:rPr>
        <w:t>电费</w:t>
      </w:r>
      <w:r>
        <w:rPr>
          <w:bCs/>
          <w:color w:val="auto"/>
          <w:kern w:val="0"/>
          <w:highlight w:val="none"/>
        </w:rPr>
        <w:t>、</w:t>
      </w:r>
      <w:r>
        <w:rPr>
          <w:rFonts w:hint="eastAsia"/>
          <w:color w:val="auto"/>
          <w:highlight w:val="none"/>
          <w:lang w:val="en-US" w:eastAsia="zh-CN"/>
        </w:rPr>
        <w:t>污泥处理费</w:t>
      </w:r>
      <w:r>
        <w:rPr>
          <w:bCs/>
          <w:color w:val="auto"/>
          <w:kern w:val="0"/>
          <w:highlight w:val="none"/>
        </w:rPr>
        <w:t>、</w:t>
      </w:r>
      <w:r>
        <w:rPr>
          <w:rFonts w:hint="eastAsia"/>
          <w:color w:val="auto"/>
          <w:highlight w:val="none"/>
          <w:lang w:val="en-US" w:eastAsia="zh-CN"/>
        </w:rPr>
        <w:t>工资及福利费、修理费</w:t>
      </w:r>
      <w:r>
        <w:rPr>
          <w:bCs/>
          <w:color w:val="auto"/>
          <w:kern w:val="0"/>
          <w:highlight w:val="none"/>
        </w:rPr>
        <w:t>、</w:t>
      </w:r>
      <w:r>
        <w:rPr>
          <w:rFonts w:hint="eastAsia"/>
          <w:color w:val="auto"/>
          <w:highlight w:val="none"/>
        </w:rPr>
        <w:t>折旧与摊销</w:t>
      </w:r>
      <w:r>
        <w:rPr>
          <w:bCs/>
          <w:color w:val="auto"/>
          <w:kern w:val="0"/>
          <w:highlight w:val="none"/>
        </w:rPr>
        <w:t>和利息。</w:t>
      </w:r>
    </w:p>
    <w:p w14:paraId="757E2CCE">
      <w:pPr>
        <w:pStyle w:val="14"/>
        <w:rPr>
          <w:color w:val="auto"/>
          <w:highlight w:val="none"/>
        </w:rPr>
      </w:pPr>
    </w:p>
    <w:p w14:paraId="374F1345">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（二）资金测算平衡情况</w:t>
      </w:r>
    </w:p>
    <w:p w14:paraId="627DD88D">
      <w:pPr>
        <w:pStyle w:val="11"/>
        <w:widowControl/>
        <w:ind w:firstLine="0"/>
        <w:rPr>
          <w:color w:val="auto"/>
          <w:highlight w:val="none"/>
        </w:rPr>
      </w:pPr>
      <w:r>
        <w:rPr>
          <w:color w:val="auto"/>
          <w:highlight w:val="none"/>
        </w:rPr>
        <w:t>花源自来水厂取水保障工程</w:t>
      </w:r>
      <w:r>
        <w:rPr>
          <w:rFonts w:hint="eastAsia"/>
          <w:color w:val="auto"/>
          <w:highlight w:val="none"/>
        </w:rPr>
        <w:t>采用政府专项债的方式融资，待本项目全部</w:t>
      </w:r>
      <w:r>
        <w:rPr>
          <w:rFonts w:hint="eastAsia"/>
          <w:color w:val="auto"/>
          <w:highlight w:val="none"/>
          <w:lang w:eastAsia="zh-CN"/>
        </w:rPr>
        <w:t>2700.00</w:t>
      </w:r>
      <w:r>
        <w:rPr>
          <w:color w:val="auto"/>
          <w:highlight w:val="none"/>
        </w:rPr>
        <w:t>万元专项债券到期时，在偿还当年到期的专项债券本息后，将仍有</w:t>
      </w:r>
      <w:r>
        <w:rPr>
          <w:rFonts w:hint="eastAsia"/>
          <w:color w:val="auto"/>
          <w:highlight w:val="none"/>
          <w:lang w:eastAsia="zh-CN"/>
        </w:rPr>
        <w:t>1313.78</w:t>
      </w:r>
      <w:r>
        <w:rPr>
          <w:color w:val="auto"/>
          <w:highlight w:val="none"/>
        </w:rPr>
        <w:t>万元的累计现金结余，本期债券本息的覆盖率为</w:t>
      </w:r>
      <w:r>
        <w:rPr>
          <w:rFonts w:hint="eastAsia"/>
          <w:color w:val="auto"/>
          <w:highlight w:val="none"/>
          <w:lang w:eastAsia="zh-CN"/>
        </w:rPr>
        <w:t>1.</w:t>
      </w:r>
      <w:r>
        <w:rPr>
          <w:rFonts w:hint="eastAsia"/>
          <w:color w:val="auto"/>
          <w:highlight w:val="none"/>
          <w:lang w:val="en-US" w:eastAsia="zh-CN"/>
        </w:rPr>
        <w:t>23</w:t>
      </w:r>
      <w:r>
        <w:rPr>
          <w:color w:val="auto"/>
          <w:highlight w:val="none"/>
        </w:rPr>
        <w:t>倍，预期实现的运营净收入能够合理保障偿还融资本金和利息,能够实现项目收益和融资自求平衡。</w:t>
      </w:r>
    </w:p>
    <w:p w14:paraId="14CB7052">
      <w:pPr>
        <w:ind w:firstLine="480"/>
        <w:rPr>
          <w:color w:val="auto"/>
          <w:highlight w:val="none"/>
        </w:rPr>
      </w:pPr>
      <w:r>
        <w:rPr>
          <w:rFonts w:hint="eastAsia"/>
          <w:color w:val="auto"/>
          <w:highlight w:val="none"/>
        </w:rPr>
        <w:t>项目资金测算平衡情况如下表所示：</w:t>
      </w:r>
    </w:p>
    <w:p w14:paraId="0FA25F4E">
      <w:pPr>
        <w:ind w:firstLine="480"/>
        <w:rPr>
          <w:color w:val="auto"/>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11D6110B">
      <w:pPr>
        <w:pStyle w:val="30"/>
        <w:rPr>
          <w:color w:val="auto"/>
          <w:highlight w:val="none"/>
        </w:rPr>
      </w:pPr>
      <w:r>
        <w:rPr>
          <w:color w:val="auto"/>
          <w:highlight w:val="none"/>
        </w:rPr>
        <w:t>项目专项债券</w:t>
      </w:r>
      <w:r>
        <w:rPr>
          <w:rFonts w:hint="eastAsia"/>
          <w:color w:val="auto"/>
          <w:highlight w:val="none"/>
          <w:lang w:val="en-US" w:eastAsia="zh-Hans"/>
        </w:rPr>
        <w:t>还本付息表</w:t>
      </w:r>
      <w:r>
        <w:rPr>
          <w:rFonts w:hint="eastAsia"/>
          <w:color w:val="auto"/>
          <w:highlight w:val="none"/>
        </w:rPr>
        <w:t>（金额单位：人民币万元）</w:t>
      </w:r>
    </w:p>
    <w:tbl>
      <w:tblPr>
        <w:tblStyle w:val="15"/>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425"/>
        <w:gridCol w:w="2278"/>
        <w:gridCol w:w="734"/>
        <w:gridCol w:w="734"/>
        <w:gridCol w:w="737"/>
        <w:gridCol w:w="1047"/>
        <w:gridCol w:w="734"/>
        <w:gridCol w:w="734"/>
        <w:gridCol w:w="734"/>
        <w:gridCol w:w="734"/>
        <w:gridCol w:w="734"/>
        <w:gridCol w:w="734"/>
        <w:gridCol w:w="837"/>
        <w:gridCol w:w="837"/>
        <w:gridCol w:w="842"/>
        <w:gridCol w:w="838"/>
        <w:gridCol w:w="838"/>
        <w:gridCol w:w="842"/>
      </w:tblGrid>
      <w:tr w14:paraId="2A11E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1086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序号</w:t>
            </w:r>
          </w:p>
        </w:tc>
        <w:tc>
          <w:tcPr>
            <w:tcW w:w="7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ED8CA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项目</w:t>
            </w:r>
          </w:p>
        </w:tc>
        <w:tc>
          <w:tcPr>
            <w:tcW w:w="2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354DB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合计</w:t>
            </w:r>
          </w:p>
        </w:tc>
        <w:tc>
          <w:tcPr>
            <w:tcW w:w="471" w:type="pct"/>
            <w:gridSpan w:val="2"/>
            <w:tcBorders>
              <w:top w:val="single" w:color="000000" w:sz="4" w:space="0"/>
              <w:left w:val="single" w:color="000000" w:sz="4" w:space="0"/>
              <w:bottom w:val="single" w:color="000000" w:sz="4" w:space="0"/>
              <w:right w:val="nil"/>
            </w:tcBorders>
            <w:shd w:val="clear" w:color="auto" w:fill="auto"/>
            <w:noWrap/>
            <w:vAlign w:val="center"/>
          </w:tcPr>
          <w:p w14:paraId="501B8F40">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建设期</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1D969">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项目还款期</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4CEFA">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98B9D">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6C4D9">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F337E">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99F3F">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7143F">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12A02">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8F16D">
            <w:pP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A764C">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E47AA">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FFCD7">
            <w:pP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3B083">
            <w:pPr>
              <w:rPr>
                <w:rFonts w:hint="eastAsia" w:ascii="仿宋" w:hAnsi="仿宋" w:eastAsia="仿宋" w:cs="仿宋"/>
                <w:b w:val="0"/>
                <w:bCs w:val="0"/>
                <w:i w:val="0"/>
                <w:iCs w:val="0"/>
                <w:color w:val="auto"/>
                <w:sz w:val="15"/>
                <w:szCs w:val="15"/>
                <w:highlight w:val="none"/>
                <w:u w:val="none"/>
              </w:rPr>
            </w:pPr>
          </w:p>
        </w:tc>
      </w:tr>
      <w:tr w14:paraId="171CB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7433C">
            <w:pPr>
              <w:jc w:val="center"/>
              <w:rPr>
                <w:rFonts w:hint="eastAsia" w:ascii="仿宋" w:hAnsi="仿宋" w:eastAsia="仿宋" w:cs="仿宋"/>
                <w:b w:val="0"/>
                <w:bCs w:val="0"/>
                <w:i w:val="0"/>
                <w:iCs w:val="0"/>
                <w:color w:val="auto"/>
                <w:sz w:val="15"/>
                <w:szCs w:val="15"/>
                <w:highlight w:val="none"/>
                <w:u w:val="none"/>
              </w:rPr>
            </w:pPr>
          </w:p>
        </w:tc>
        <w:tc>
          <w:tcPr>
            <w:tcW w:w="7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E618D">
            <w:pPr>
              <w:jc w:val="center"/>
              <w:rPr>
                <w:rFonts w:hint="eastAsia" w:ascii="仿宋" w:hAnsi="仿宋" w:eastAsia="仿宋" w:cs="仿宋"/>
                <w:b w:val="0"/>
                <w:bCs w:val="0"/>
                <w:i w:val="0"/>
                <w:iCs w:val="0"/>
                <w:color w:val="auto"/>
                <w:sz w:val="15"/>
                <w:szCs w:val="15"/>
                <w:highlight w:val="none"/>
                <w:u w:val="none"/>
              </w:rPr>
            </w:pPr>
          </w:p>
        </w:tc>
        <w:tc>
          <w:tcPr>
            <w:tcW w:w="2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E48B1">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606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第1年</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3257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第2年</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0018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第3年</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A0D9F">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第4年</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3F3F2">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第5年</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D7B2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第6年</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30FB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第7年</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C1E5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第8年</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D90B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第9年</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2F33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第10年</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F61E2">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第11年</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CAB5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第12年</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105E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第13年</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03AF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第14年</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6F18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第15年</w:t>
            </w:r>
          </w:p>
        </w:tc>
      </w:tr>
      <w:tr w14:paraId="0A072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45D6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一</w:t>
            </w: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A0552">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发行债券（利率）</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350B0">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BEE8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40C00">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2E2B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27C8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76BE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FD5AF">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6F350">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1042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9F19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B531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A094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2222F">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F3AD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1BF2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44C9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r>
      <w:tr w14:paraId="6BA7A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F40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w:t>
            </w: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20C13">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期初本金金额</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0BE0C">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D009A">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BB0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1000.00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0237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18D6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730F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4DCD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3021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B329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9230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633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6A9D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25D9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7A80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551F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6174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r>
      <w:tr w14:paraId="744FC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F374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w:t>
            </w: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A817E">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本年新增本金</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DB87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9167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1000.00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49CF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1700.00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CBAA7">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F7591">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2F2CA">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9E20C">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7FED2">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DE44B">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B9084">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AD912">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95BF1">
            <w:pPr>
              <w:jc w:val="cente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84F3E">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E8C8D">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7B5DF2">
            <w:pP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DF90A6">
            <w:pPr>
              <w:rPr>
                <w:rFonts w:hint="eastAsia" w:ascii="仿宋" w:hAnsi="仿宋" w:eastAsia="仿宋" w:cs="仿宋"/>
                <w:b w:val="0"/>
                <w:bCs w:val="0"/>
                <w:i w:val="0"/>
                <w:iCs w:val="0"/>
                <w:color w:val="auto"/>
                <w:sz w:val="15"/>
                <w:szCs w:val="15"/>
                <w:highlight w:val="none"/>
                <w:u w:val="none"/>
              </w:rPr>
            </w:pPr>
          </w:p>
        </w:tc>
      </w:tr>
      <w:tr w14:paraId="0CF41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05D4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w:t>
            </w: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C8A95">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本年应计利息</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24CB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2592.00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962E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99E3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988C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263C2">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C03BF">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51E4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0B8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5C6D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0E38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6C4C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2390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D8B4F">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A3FE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1D37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06A4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r>
      <w:tr w14:paraId="76C1D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8AC829">
            <w:pPr>
              <w:jc w:val="center"/>
              <w:rPr>
                <w:rFonts w:hint="eastAsia" w:ascii="仿宋" w:hAnsi="仿宋" w:eastAsia="仿宋" w:cs="仿宋"/>
                <w:b w:val="0"/>
                <w:bCs w:val="0"/>
                <w:i w:val="0"/>
                <w:iCs w:val="0"/>
                <w:color w:val="auto"/>
                <w:sz w:val="15"/>
                <w:szCs w:val="15"/>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C9EA8">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其中：计入建设期利息</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A416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118.40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021F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4435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0F009">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48F6">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5346A">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C49F7">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EC86D">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2C4E9">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1E111">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7C5E5">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DC87D">
            <w:pPr>
              <w:jc w:val="cente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0C09F">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EF0C7">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3B7A5">
            <w:pPr>
              <w:jc w:val="cente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E06E1">
            <w:pPr>
              <w:jc w:val="center"/>
              <w:rPr>
                <w:rFonts w:hint="eastAsia" w:ascii="仿宋" w:hAnsi="仿宋" w:eastAsia="仿宋" w:cs="仿宋"/>
                <w:b w:val="0"/>
                <w:bCs w:val="0"/>
                <w:i w:val="0"/>
                <w:iCs w:val="0"/>
                <w:color w:val="auto"/>
                <w:sz w:val="15"/>
                <w:szCs w:val="15"/>
                <w:highlight w:val="none"/>
                <w:u w:val="none"/>
              </w:rPr>
            </w:pPr>
          </w:p>
        </w:tc>
      </w:tr>
      <w:tr w14:paraId="3F0E9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5A81E1">
            <w:pPr>
              <w:jc w:val="center"/>
              <w:rPr>
                <w:rFonts w:hint="eastAsia" w:ascii="仿宋" w:hAnsi="仿宋" w:eastAsia="仿宋" w:cs="仿宋"/>
                <w:b w:val="0"/>
                <w:bCs w:val="0"/>
                <w:i w:val="0"/>
                <w:iCs w:val="0"/>
                <w:color w:val="auto"/>
                <w:sz w:val="15"/>
                <w:szCs w:val="15"/>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C0F12">
            <w:pPr>
              <w:keepNext w:val="0"/>
              <w:keepLines w:val="0"/>
              <w:widowControl/>
              <w:suppressLineNumbers w:val="0"/>
              <w:spacing w:line="240" w:lineRule="auto"/>
              <w:ind w:firstLine="0" w:firstLineChars="0"/>
              <w:jc w:val="both"/>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计入还款期利息</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9D48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2473.60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FAF84">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56C16">
            <w:pPr>
              <w:jc w:val="center"/>
              <w:rPr>
                <w:rFonts w:hint="eastAsia" w:ascii="仿宋" w:hAnsi="仿宋" w:eastAsia="仿宋" w:cs="仿宋"/>
                <w:b w:val="0"/>
                <w:bCs w:val="0"/>
                <w:i w:val="0"/>
                <w:iCs w:val="0"/>
                <w:color w:val="auto"/>
                <w:sz w:val="15"/>
                <w:szCs w:val="15"/>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1E2F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8299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4B9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60CF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A7FA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73BE2">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9D6E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DB93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AED6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B2F4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C85F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7581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6C4A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r>
      <w:tr w14:paraId="253FC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64D2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4</w:t>
            </w: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262CA">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本年还本付息</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8C95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5292.00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48AA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E26B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1077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643F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3C13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E9A2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377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7543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674E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F9402">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F039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CB75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8CCF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3383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EAA9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r>
      <w:tr w14:paraId="4C936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8E18BE">
            <w:pPr>
              <w:jc w:val="center"/>
              <w:rPr>
                <w:rFonts w:hint="eastAsia" w:ascii="仿宋" w:hAnsi="仿宋" w:eastAsia="仿宋" w:cs="仿宋"/>
                <w:b w:val="0"/>
                <w:bCs w:val="0"/>
                <w:i w:val="0"/>
                <w:iCs w:val="0"/>
                <w:color w:val="auto"/>
                <w:sz w:val="15"/>
                <w:szCs w:val="15"/>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72B73">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还本</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223C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52C2F">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B84E">
            <w:pPr>
              <w:jc w:val="center"/>
              <w:rPr>
                <w:rFonts w:hint="eastAsia" w:ascii="仿宋" w:hAnsi="仿宋" w:eastAsia="仿宋" w:cs="仿宋"/>
                <w:b w:val="0"/>
                <w:bCs w:val="0"/>
                <w:i w:val="0"/>
                <w:iCs w:val="0"/>
                <w:color w:val="auto"/>
                <w:sz w:val="15"/>
                <w:szCs w:val="15"/>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B5E99">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71201">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821E">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E942">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A977E">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461BF">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85099">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8F476">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0F031">
            <w:pPr>
              <w:jc w:val="cente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5BC05">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AA4E7">
            <w:pPr>
              <w:jc w:val="cente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37C21">
            <w:pPr>
              <w:jc w:val="cente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8C47D">
            <w:pPr>
              <w:jc w:val="center"/>
              <w:rPr>
                <w:rFonts w:hint="eastAsia" w:ascii="仿宋" w:hAnsi="仿宋" w:eastAsia="仿宋" w:cs="仿宋"/>
                <w:b w:val="0"/>
                <w:bCs w:val="0"/>
                <w:i w:val="0"/>
                <w:iCs w:val="0"/>
                <w:color w:val="auto"/>
                <w:sz w:val="15"/>
                <w:szCs w:val="15"/>
                <w:highlight w:val="none"/>
                <w:u w:val="none"/>
              </w:rPr>
            </w:pPr>
          </w:p>
        </w:tc>
      </w:tr>
      <w:tr w14:paraId="1AE75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7075BF">
            <w:pPr>
              <w:jc w:val="center"/>
              <w:rPr>
                <w:rFonts w:hint="eastAsia" w:ascii="仿宋" w:hAnsi="仿宋" w:eastAsia="仿宋" w:cs="仿宋"/>
                <w:b w:val="0"/>
                <w:bCs w:val="0"/>
                <w:i w:val="0"/>
                <w:iCs w:val="0"/>
                <w:color w:val="auto"/>
                <w:sz w:val="15"/>
                <w:szCs w:val="15"/>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475B6">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付息</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63AC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2592.00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6DE9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FC4E0">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F1F4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63D3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EA01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6B87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DB09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7506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7D98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C5D5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1963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ECAE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1434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7357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BFA5F">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r>
      <w:tr w14:paraId="193EF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AA71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5</w:t>
            </w: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C82EE">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期末本金金额</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1E525">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CA8A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1000.00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C88F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FFEB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5A30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5DC80">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C969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201A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BD54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6EDC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93CD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A38F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1F8A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3477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D068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2A2A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2700.00</w:t>
            </w:r>
          </w:p>
        </w:tc>
      </w:tr>
      <w:tr w14:paraId="7B2DD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4E56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二</w:t>
            </w:r>
          </w:p>
        </w:tc>
        <w:tc>
          <w:tcPr>
            <w:tcW w:w="729" w:type="pct"/>
            <w:tcBorders>
              <w:top w:val="single" w:color="000000" w:sz="4" w:space="0"/>
              <w:left w:val="single" w:color="000000" w:sz="4" w:space="0"/>
              <w:bottom w:val="single" w:color="000000" w:sz="4" w:space="0"/>
              <w:right w:val="nil"/>
            </w:tcBorders>
            <w:shd w:val="clear" w:color="auto" w:fill="auto"/>
            <w:vAlign w:val="center"/>
          </w:tcPr>
          <w:p w14:paraId="619D0078">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还款资金来源及还款分析</w:t>
            </w:r>
          </w:p>
        </w:tc>
        <w:tc>
          <w:tcPr>
            <w:tcW w:w="235" w:type="pct"/>
            <w:tcBorders>
              <w:top w:val="single" w:color="000000" w:sz="4" w:space="0"/>
              <w:left w:val="nil"/>
              <w:bottom w:val="single" w:color="000000" w:sz="4" w:space="0"/>
              <w:right w:val="nil"/>
            </w:tcBorders>
            <w:shd w:val="clear" w:color="auto" w:fill="auto"/>
            <w:vAlign w:val="center"/>
          </w:tcPr>
          <w:p w14:paraId="19AC8E60">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5B6C9646">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450F6E18">
            <w:pPr>
              <w:rPr>
                <w:rFonts w:hint="eastAsia" w:ascii="仿宋" w:hAnsi="仿宋" w:eastAsia="仿宋" w:cs="仿宋"/>
                <w:b w:val="0"/>
                <w:bCs w:val="0"/>
                <w:i w:val="0"/>
                <w:iCs w:val="0"/>
                <w:color w:val="auto"/>
                <w:sz w:val="15"/>
                <w:szCs w:val="15"/>
                <w:highlight w:val="none"/>
                <w:u w:val="none"/>
              </w:rPr>
            </w:pPr>
          </w:p>
        </w:tc>
        <w:tc>
          <w:tcPr>
            <w:tcW w:w="335" w:type="pct"/>
            <w:tcBorders>
              <w:top w:val="single" w:color="000000" w:sz="4" w:space="0"/>
              <w:left w:val="nil"/>
              <w:bottom w:val="single" w:color="000000" w:sz="4" w:space="0"/>
              <w:right w:val="nil"/>
            </w:tcBorders>
            <w:shd w:val="clear" w:color="auto" w:fill="auto"/>
            <w:vAlign w:val="center"/>
          </w:tcPr>
          <w:p w14:paraId="2BF6E5E8">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31C4471E">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3AC81094">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2FD7F278">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3BD24D84">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090E6A59">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3752EDAB">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nil"/>
              <w:bottom w:val="single" w:color="000000" w:sz="4" w:space="0"/>
              <w:right w:val="nil"/>
            </w:tcBorders>
            <w:shd w:val="clear" w:color="auto" w:fill="auto"/>
            <w:vAlign w:val="center"/>
          </w:tcPr>
          <w:p w14:paraId="566BD462">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nil"/>
              <w:bottom w:val="single" w:color="000000" w:sz="4" w:space="0"/>
              <w:right w:val="nil"/>
            </w:tcBorders>
            <w:shd w:val="clear" w:color="auto" w:fill="auto"/>
            <w:vAlign w:val="center"/>
          </w:tcPr>
          <w:p w14:paraId="389FC6DD">
            <w:pP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nil"/>
              <w:bottom w:val="single" w:color="000000" w:sz="4" w:space="0"/>
              <w:right w:val="nil"/>
            </w:tcBorders>
            <w:shd w:val="clear" w:color="auto" w:fill="auto"/>
            <w:vAlign w:val="center"/>
          </w:tcPr>
          <w:p w14:paraId="5CCD8092">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nil"/>
              <w:bottom w:val="single" w:color="000000" w:sz="4" w:space="0"/>
              <w:right w:val="nil"/>
            </w:tcBorders>
            <w:shd w:val="clear" w:color="auto" w:fill="auto"/>
            <w:vAlign w:val="center"/>
          </w:tcPr>
          <w:p w14:paraId="23B39261">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nil"/>
              <w:bottom w:val="single" w:color="000000" w:sz="4" w:space="0"/>
              <w:right w:val="nil"/>
            </w:tcBorders>
            <w:shd w:val="clear" w:color="auto" w:fill="auto"/>
            <w:vAlign w:val="center"/>
          </w:tcPr>
          <w:p w14:paraId="102F740B">
            <w:pP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nil"/>
              <w:bottom w:val="single" w:color="000000" w:sz="4" w:space="0"/>
              <w:right w:val="nil"/>
            </w:tcBorders>
            <w:shd w:val="clear" w:color="auto" w:fill="auto"/>
            <w:vAlign w:val="center"/>
          </w:tcPr>
          <w:p w14:paraId="5ED05FDE">
            <w:pPr>
              <w:rPr>
                <w:rFonts w:hint="eastAsia" w:ascii="仿宋" w:hAnsi="仿宋" w:eastAsia="仿宋" w:cs="仿宋"/>
                <w:b w:val="0"/>
                <w:bCs w:val="0"/>
                <w:i w:val="0"/>
                <w:iCs w:val="0"/>
                <w:color w:val="auto"/>
                <w:sz w:val="15"/>
                <w:szCs w:val="15"/>
                <w:highlight w:val="none"/>
                <w:u w:val="none"/>
              </w:rPr>
            </w:pPr>
          </w:p>
        </w:tc>
      </w:tr>
      <w:tr w14:paraId="524C2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317D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w:t>
            </w: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495EC">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还款资金来源</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3E1D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6487.38</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0B6D8">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5A2B4">
            <w:pPr>
              <w:jc w:val="center"/>
              <w:rPr>
                <w:rFonts w:hint="eastAsia" w:ascii="仿宋" w:hAnsi="仿宋" w:eastAsia="仿宋" w:cs="仿宋"/>
                <w:b w:val="0"/>
                <w:bCs w:val="0"/>
                <w:i w:val="0"/>
                <w:iCs w:val="0"/>
                <w:color w:val="auto"/>
                <w:sz w:val="15"/>
                <w:szCs w:val="15"/>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F73D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364.39</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9718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357.19</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3081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349.62</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A746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342.01</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FF3E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334.02</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5209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325.99</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EAC8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317.59</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821F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308.82</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63CB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300.01</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364D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290.82</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C4B2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281.26</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5E9A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271.66</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C35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261.64</w:t>
            </w:r>
          </w:p>
        </w:tc>
      </w:tr>
      <w:tr w14:paraId="46D43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09B9F">
            <w:pPr>
              <w:jc w:val="center"/>
              <w:rPr>
                <w:rFonts w:hint="eastAsia" w:ascii="仿宋" w:hAnsi="仿宋" w:eastAsia="仿宋" w:cs="仿宋"/>
                <w:b w:val="0"/>
                <w:bCs w:val="0"/>
                <w:i w:val="0"/>
                <w:iCs w:val="0"/>
                <w:color w:val="auto"/>
                <w:sz w:val="15"/>
                <w:szCs w:val="15"/>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A6744">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当年净利润</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BAAC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1616.93</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0BA6C">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C8F6F">
            <w:pPr>
              <w:jc w:val="center"/>
              <w:rPr>
                <w:rFonts w:hint="eastAsia" w:ascii="仿宋" w:hAnsi="仿宋" w:eastAsia="仿宋" w:cs="仿宋"/>
                <w:b w:val="0"/>
                <w:bCs w:val="0"/>
                <w:i w:val="0"/>
                <w:iCs w:val="0"/>
                <w:color w:val="auto"/>
                <w:sz w:val="15"/>
                <w:szCs w:val="15"/>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2637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195.34</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3D5A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188.14</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DD02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180.57</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C928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172.96</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DBBA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164.97</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001D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156.94</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F0A5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148.54</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1EF8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139.77</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21AB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130.96</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4108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121.77</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34102">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112.21</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A4EC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102.61</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7B71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92.59</w:t>
            </w:r>
          </w:p>
        </w:tc>
      </w:tr>
      <w:tr w14:paraId="0E499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F3E63">
            <w:pPr>
              <w:jc w:val="center"/>
              <w:rPr>
                <w:rFonts w:hint="eastAsia" w:ascii="仿宋" w:hAnsi="仿宋" w:eastAsia="仿宋" w:cs="仿宋"/>
                <w:b w:val="0"/>
                <w:bCs w:val="0"/>
                <w:i w:val="0"/>
                <w:iCs w:val="0"/>
                <w:color w:val="auto"/>
                <w:sz w:val="15"/>
                <w:szCs w:val="15"/>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06CB4">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债券财务费用</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90EA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2473.60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47B13">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2FF3F">
            <w:pPr>
              <w:jc w:val="center"/>
              <w:rPr>
                <w:rFonts w:hint="eastAsia" w:ascii="仿宋" w:hAnsi="仿宋" w:eastAsia="仿宋" w:cs="仿宋"/>
                <w:b w:val="0"/>
                <w:bCs w:val="0"/>
                <w:i w:val="0"/>
                <w:iCs w:val="0"/>
                <w:color w:val="auto"/>
                <w:sz w:val="15"/>
                <w:szCs w:val="15"/>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1135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345E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5A34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8DF7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E8D6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D7B9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8BC4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AC30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475C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94DC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855F0">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5EE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50B8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86.40</w:t>
            </w:r>
          </w:p>
        </w:tc>
      </w:tr>
      <w:tr w14:paraId="3A48D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D56F9">
            <w:pPr>
              <w:jc w:val="center"/>
              <w:rPr>
                <w:rFonts w:hint="eastAsia" w:ascii="仿宋" w:hAnsi="仿宋" w:eastAsia="仿宋" w:cs="仿宋"/>
                <w:b w:val="0"/>
                <w:bCs w:val="0"/>
                <w:i w:val="0"/>
                <w:iCs w:val="0"/>
                <w:color w:val="auto"/>
                <w:sz w:val="15"/>
                <w:szCs w:val="15"/>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E9221">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折旧及摊销</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71FE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2396.85</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036FD">
            <w:pPr>
              <w:jc w:val="cente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59B9C">
            <w:pPr>
              <w:jc w:val="center"/>
              <w:rPr>
                <w:rFonts w:hint="eastAsia" w:ascii="仿宋" w:hAnsi="仿宋" w:eastAsia="仿宋" w:cs="仿宋"/>
                <w:b w:val="0"/>
                <w:bCs w:val="0"/>
                <w:i w:val="0"/>
                <w:iCs w:val="0"/>
                <w:color w:val="auto"/>
                <w:sz w:val="15"/>
                <w:szCs w:val="15"/>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2A49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525C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E086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60A8F">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60A8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C3AA0">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6FC6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7A260">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C1FF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C18F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751F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5837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1417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82.65</w:t>
            </w:r>
          </w:p>
        </w:tc>
      </w:tr>
      <w:tr w14:paraId="6C853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CDACF">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w:t>
            </w:r>
          </w:p>
        </w:tc>
        <w:tc>
          <w:tcPr>
            <w:tcW w:w="729" w:type="pct"/>
            <w:tcBorders>
              <w:top w:val="single" w:color="000000" w:sz="4" w:space="0"/>
              <w:left w:val="single" w:color="000000" w:sz="4" w:space="0"/>
              <w:bottom w:val="single" w:color="000000" w:sz="4" w:space="0"/>
              <w:right w:val="nil"/>
            </w:tcBorders>
            <w:shd w:val="clear" w:color="auto" w:fill="auto"/>
            <w:vAlign w:val="center"/>
          </w:tcPr>
          <w:p w14:paraId="62023391">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本息偿还分析</w:t>
            </w:r>
          </w:p>
        </w:tc>
        <w:tc>
          <w:tcPr>
            <w:tcW w:w="235" w:type="pct"/>
            <w:tcBorders>
              <w:top w:val="single" w:color="000000" w:sz="4" w:space="0"/>
              <w:left w:val="nil"/>
              <w:bottom w:val="single" w:color="000000" w:sz="4" w:space="0"/>
              <w:right w:val="nil"/>
            </w:tcBorders>
            <w:shd w:val="clear" w:color="auto" w:fill="auto"/>
            <w:vAlign w:val="center"/>
          </w:tcPr>
          <w:p w14:paraId="52A73B24">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105F9972">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5E743947">
            <w:pPr>
              <w:rPr>
                <w:rFonts w:hint="eastAsia" w:ascii="仿宋" w:hAnsi="仿宋" w:eastAsia="仿宋" w:cs="仿宋"/>
                <w:b w:val="0"/>
                <w:bCs w:val="0"/>
                <w:i w:val="0"/>
                <w:iCs w:val="0"/>
                <w:color w:val="auto"/>
                <w:sz w:val="15"/>
                <w:szCs w:val="15"/>
                <w:highlight w:val="none"/>
                <w:u w:val="none"/>
              </w:rPr>
            </w:pPr>
          </w:p>
        </w:tc>
        <w:tc>
          <w:tcPr>
            <w:tcW w:w="335" w:type="pct"/>
            <w:tcBorders>
              <w:top w:val="single" w:color="000000" w:sz="4" w:space="0"/>
              <w:left w:val="nil"/>
              <w:bottom w:val="single" w:color="000000" w:sz="4" w:space="0"/>
              <w:right w:val="nil"/>
            </w:tcBorders>
            <w:shd w:val="clear" w:color="auto" w:fill="auto"/>
            <w:vAlign w:val="center"/>
          </w:tcPr>
          <w:p w14:paraId="14C650A3">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6F1E7FB9">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0A1C04FD">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3CA47328">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5FE5FE6B">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5DAD5752">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nil"/>
              <w:bottom w:val="single" w:color="000000" w:sz="4" w:space="0"/>
              <w:right w:val="nil"/>
            </w:tcBorders>
            <w:shd w:val="clear" w:color="auto" w:fill="auto"/>
            <w:vAlign w:val="center"/>
          </w:tcPr>
          <w:p w14:paraId="0786A761">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nil"/>
              <w:bottom w:val="single" w:color="000000" w:sz="4" w:space="0"/>
              <w:right w:val="nil"/>
            </w:tcBorders>
            <w:shd w:val="clear" w:color="auto" w:fill="auto"/>
            <w:vAlign w:val="center"/>
          </w:tcPr>
          <w:p w14:paraId="6DFCFD69">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nil"/>
              <w:bottom w:val="single" w:color="000000" w:sz="4" w:space="0"/>
              <w:right w:val="nil"/>
            </w:tcBorders>
            <w:shd w:val="clear" w:color="auto" w:fill="auto"/>
            <w:vAlign w:val="center"/>
          </w:tcPr>
          <w:p w14:paraId="2F19036A">
            <w:pP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nil"/>
              <w:bottom w:val="single" w:color="000000" w:sz="4" w:space="0"/>
              <w:right w:val="nil"/>
            </w:tcBorders>
            <w:shd w:val="clear" w:color="auto" w:fill="auto"/>
            <w:vAlign w:val="center"/>
          </w:tcPr>
          <w:p w14:paraId="3FD34659">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nil"/>
              <w:bottom w:val="single" w:color="000000" w:sz="4" w:space="0"/>
              <w:right w:val="nil"/>
            </w:tcBorders>
            <w:shd w:val="clear" w:color="auto" w:fill="auto"/>
            <w:vAlign w:val="center"/>
          </w:tcPr>
          <w:p w14:paraId="3B438E6B">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nil"/>
              <w:bottom w:val="single" w:color="000000" w:sz="4" w:space="0"/>
              <w:right w:val="nil"/>
            </w:tcBorders>
            <w:shd w:val="clear" w:color="auto" w:fill="auto"/>
            <w:vAlign w:val="center"/>
          </w:tcPr>
          <w:p w14:paraId="748A2A8E">
            <w:pP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nil"/>
              <w:bottom w:val="single" w:color="000000" w:sz="4" w:space="0"/>
              <w:right w:val="nil"/>
            </w:tcBorders>
            <w:shd w:val="clear" w:color="auto" w:fill="auto"/>
            <w:vAlign w:val="center"/>
          </w:tcPr>
          <w:p w14:paraId="40523B4F">
            <w:pPr>
              <w:rPr>
                <w:rFonts w:hint="eastAsia" w:ascii="仿宋" w:hAnsi="仿宋" w:eastAsia="仿宋" w:cs="仿宋"/>
                <w:b w:val="0"/>
                <w:bCs w:val="0"/>
                <w:i w:val="0"/>
                <w:iCs w:val="0"/>
                <w:color w:val="auto"/>
                <w:sz w:val="15"/>
                <w:szCs w:val="15"/>
                <w:highlight w:val="none"/>
                <w:u w:val="none"/>
              </w:rPr>
            </w:pPr>
          </w:p>
        </w:tc>
      </w:tr>
      <w:tr w14:paraId="41CC9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7C82EA">
            <w:pPr>
              <w:jc w:val="center"/>
              <w:rPr>
                <w:rFonts w:hint="eastAsia" w:ascii="仿宋" w:hAnsi="仿宋" w:eastAsia="仿宋" w:cs="仿宋"/>
                <w:b w:val="0"/>
                <w:bCs w:val="0"/>
                <w:i w:val="0"/>
                <w:iCs w:val="0"/>
                <w:color w:val="auto"/>
                <w:sz w:val="15"/>
                <w:szCs w:val="15"/>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EFE77">
            <w:pPr>
              <w:keepNext w:val="0"/>
              <w:keepLines w:val="0"/>
              <w:widowControl/>
              <w:suppressLineNumbers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本息覆盖倍数</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4BA2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1.23</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9A7D6">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C3CDD">
            <w:pPr>
              <w:rPr>
                <w:rFonts w:hint="eastAsia" w:ascii="仿宋" w:hAnsi="仿宋" w:eastAsia="仿宋" w:cs="仿宋"/>
                <w:b w:val="0"/>
                <w:bCs w:val="0"/>
                <w:i w:val="0"/>
                <w:iCs w:val="0"/>
                <w:color w:val="auto"/>
                <w:sz w:val="15"/>
                <w:szCs w:val="15"/>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94453">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D3932">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E5C98">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D9F91">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7EFB8">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A6613">
            <w:pPr>
              <w:rPr>
                <w:rFonts w:hint="eastAsia" w:ascii="仿宋" w:hAnsi="仿宋" w:eastAsia="仿宋" w:cs="仿宋"/>
                <w:b w:val="0"/>
                <w:bCs w:val="0"/>
                <w:i w:val="0"/>
                <w:iCs w:val="0"/>
                <w:color w:val="auto"/>
                <w:sz w:val="15"/>
                <w:szCs w:val="15"/>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AB6C2">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C76D7">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E2A54">
            <w:pP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85FF1">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7DDCE">
            <w:pPr>
              <w:rPr>
                <w:rFonts w:hint="eastAsia" w:ascii="仿宋" w:hAnsi="仿宋" w:eastAsia="仿宋" w:cs="仿宋"/>
                <w:b w:val="0"/>
                <w:bCs w:val="0"/>
                <w:i w:val="0"/>
                <w:iCs w:val="0"/>
                <w:color w:val="auto"/>
                <w:sz w:val="15"/>
                <w:szCs w:val="15"/>
                <w:highlight w:val="none"/>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D7CEA0">
            <w:pPr>
              <w:rPr>
                <w:rFonts w:hint="eastAsia" w:ascii="仿宋" w:hAnsi="仿宋" w:eastAsia="仿宋" w:cs="仿宋"/>
                <w:b w:val="0"/>
                <w:bCs w:val="0"/>
                <w:i w:val="0"/>
                <w:iCs w:val="0"/>
                <w:color w:val="auto"/>
                <w:sz w:val="15"/>
                <w:szCs w:val="15"/>
                <w:highlight w:val="none"/>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CA8595">
            <w:pPr>
              <w:rPr>
                <w:rFonts w:hint="eastAsia" w:ascii="仿宋" w:hAnsi="仿宋" w:eastAsia="仿宋" w:cs="仿宋"/>
                <w:b w:val="0"/>
                <w:bCs w:val="0"/>
                <w:i w:val="0"/>
                <w:iCs w:val="0"/>
                <w:color w:val="auto"/>
                <w:sz w:val="15"/>
                <w:szCs w:val="15"/>
                <w:highlight w:val="none"/>
                <w:u w:val="none"/>
              </w:rPr>
            </w:pPr>
          </w:p>
        </w:tc>
      </w:tr>
    </w:tbl>
    <w:p w14:paraId="2896C7C6">
      <w:pPr>
        <w:ind w:firstLine="0" w:firstLineChars="0"/>
        <w:rPr>
          <w:rFonts w:hint="eastAsia"/>
          <w:color w:val="auto"/>
          <w:highlight w:val="none"/>
        </w:rPr>
      </w:pPr>
      <w:r>
        <w:rPr>
          <w:rFonts w:hint="eastAsia"/>
          <w:color w:val="auto"/>
          <w:highlight w:val="none"/>
        </w:rPr>
        <w:br w:type="page"/>
      </w:r>
    </w:p>
    <w:tbl>
      <w:tblPr>
        <w:tblStyle w:val="1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406"/>
        <w:gridCol w:w="2172"/>
        <w:gridCol w:w="801"/>
        <w:gridCol w:w="801"/>
        <w:gridCol w:w="801"/>
        <w:gridCol w:w="801"/>
        <w:gridCol w:w="801"/>
        <w:gridCol w:w="802"/>
        <w:gridCol w:w="802"/>
        <w:gridCol w:w="802"/>
        <w:gridCol w:w="802"/>
        <w:gridCol w:w="802"/>
        <w:gridCol w:w="802"/>
        <w:gridCol w:w="802"/>
        <w:gridCol w:w="802"/>
        <w:gridCol w:w="802"/>
        <w:gridCol w:w="802"/>
        <w:gridCol w:w="802"/>
      </w:tblGrid>
      <w:tr w14:paraId="7C2FC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A1FF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序号</w:t>
            </w:r>
          </w:p>
        </w:tc>
        <w:tc>
          <w:tcPr>
            <w:tcW w:w="7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F568A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项目</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A56B4">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5240D">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53710">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89926">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B182B">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A0F12">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DF48F">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4318E">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4E6D0">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13CC0">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5ADD4">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57A3B">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EE98B">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C6DD6">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6E1AA">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893E1">
            <w:pPr>
              <w:jc w:val="center"/>
              <w:rPr>
                <w:rFonts w:hint="eastAsia" w:ascii="仿宋" w:hAnsi="仿宋" w:eastAsia="仿宋" w:cs="仿宋"/>
                <w:b w:val="0"/>
                <w:bCs w:val="0"/>
                <w:i w:val="0"/>
                <w:iCs w:val="0"/>
                <w:color w:val="auto"/>
                <w:sz w:val="15"/>
                <w:szCs w:val="15"/>
                <w:highlight w:val="none"/>
                <w:u w:val="none"/>
              </w:rPr>
            </w:pPr>
          </w:p>
        </w:tc>
      </w:tr>
      <w:tr w14:paraId="710FF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09142">
            <w:pPr>
              <w:jc w:val="center"/>
              <w:rPr>
                <w:rFonts w:hint="eastAsia" w:ascii="仿宋" w:hAnsi="仿宋" w:eastAsia="仿宋" w:cs="仿宋"/>
                <w:b w:val="0"/>
                <w:bCs w:val="0"/>
                <w:i w:val="0"/>
                <w:iCs w:val="0"/>
                <w:color w:val="auto"/>
                <w:sz w:val="15"/>
                <w:szCs w:val="15"/>
                <w:highlight w:val="none"/>
                <w:u w:val="none"/>
              </w:rPr>
            </w:pPr>
          </w:p>
        </w:tc>
        <w:tc>
          <w:tcPr>
            <w:tcW w:w="7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DBE3F">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3B7F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第16年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6F83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第17年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82D4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第18年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AA20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第19年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8CE8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第20年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25B3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第21年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0BEB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第22年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9F81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第23年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557C2">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第24年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4D38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第25年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98D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第26年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1AD8F">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第27年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BE80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第28年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4692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第29年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CEA7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第30年</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6FAE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 xml:space="preserve"> 第31年</w:t>
            </w:r>
          </w:p>
        </w:tc>
      </w:tr>
      <w:tr w14:paraId="4EB13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45DE2">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一</w:t>
            </w: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0064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发行债券（利率）</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9DA1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062C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65215">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F297A">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A179B">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1C9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D6E46">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43E6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75A1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1511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9408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36B3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E235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7FA6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9BF1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29BD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3.20%</w:t>
            </w:r>
          </w:p>
        </w:tc>
      </w:tr>
      <w:tr w14:paraId="23988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6598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w:t>
            </w: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C1E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期初本金金额</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FC3D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8D29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C3DB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45FC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D8D9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B2C5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B319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91CD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920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A1F1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EEEC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E10A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4DBF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B57C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C740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6D30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1700.00</w:t>
            </w:r>
          </w:p>
        </w:tc>
      </w:tr>
      <w:tr w14:paraId="20257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38F5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w:t>
            </w: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066E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本年新增本金</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12C34BC">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77E6A7">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EE73C6">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D08A2F">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F6903">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39E6C">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42351">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88552">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60418">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5FBA6">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DAE0A">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FF414">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C007C">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C3683">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0124E">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8457DC">
            <w:pPr>
              <w:jc w:val="center"/>
              <w:rPr>
                <w:rFonts w:hint="eastAsia" w:ascii="仿宋" w:hAnsi="仿宋" w:eastAsia="仿宋" w:cs="仿宋"/>
                <w:i w:val="0"/>
                <w:iCs w:val="0"/>
                <w:color w:val="auto"/>
                <w:sz w:val="15"/>
                <w:szCs w:val="15"/>
                <w:highlight w:val="none"/>
                <w:u w:val="none"/>
              </w:rPr>
            </w:pPr>
          </w:p>
        </w:tc>
      </w:tr>
      <w:tr w14:paraId="54781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56B7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3</w:t>
            </w: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B43E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本年应计利息</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331F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BF53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D63D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5D67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0963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0FA7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B57C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C6E7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71E2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F240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9870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AAC9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DFB4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2241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66B5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F66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54.40</w:t>
            </w:r>
          </w:p>
        </w:tc>
      </w:tr>
      <w:tr w14:paraId="533A3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60502C">
            <w:pPr>
              <w:jc w:val="center"/>
              <w:rPr>
                <w:rFonts w:hint="eastAsia" w:ascii="仿宋" w:hAnsi="仿宋" w:eastAsia="仿宋" w:cs="仿宋"/>
                <w:i w:val="0"/>
                <w:iCs w:val="0"/>
                <w:color w:val="auto"/>
                <w:sz w:val="15"/>
                <w:szCs w:val="15"/>
                <w:highlight w:val="none"/>
                <w:u w:val="none"/>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27B4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其中：计入建设期利息</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82B35">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868CB">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978CE">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0CDA2">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81A80">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CDF58">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1104">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CA6BA">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761D5">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8ACA8">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0F6E6">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20F9D">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FAE98">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F7C7E">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CA09">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105DD">
            <w:pPr>
              <w:jc w:val="center"/>
              <w:rPr>
                <w:rFonts w:hint="eastAsia" w:ascii="仿宋" w:hAnsi="仿宋" w:eastAsia="仿宋" w:cs="仿宋"/>
                <w:i w:val="0"/>
                <w:iCs w:val="0"/>
                <w:color w:val="auto"/>
                <w:sz w:val="15"/>
                <w:szCs w:val="15"/>
                <w:highlight w:val="none"/>
                <w:u w:val="none"/>
              </w:rPr>
            </w:pPr>
          </w:p>
        </w:tc>
      </w:tr>
      <w:tr w14:paraId="2AD6D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53AF79">
            <w:pPr>
              <w:jc w:val="center"/>
              <w:rPr>
                <w:rFonts w:hint="eastAsia" w:ascii="仿宋" w:hAnsi="仿宋" w:eastAsia="仿宋" w:cs="仿宋"/>
                <w:i w:val="0"/>
                <w:iCs w:val="0"/>
                <w:color w:val="auto"/>
                <w:sz w:val="15"/>
                <w:szCs w:val="15"/>
                <w:highlight w:val="none"/>
                <w:u w:val="none"/>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5C15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计入还款期利息</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2DE1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5375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8F25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BAC5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F92A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54F5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7D88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E003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E322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B67B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B7B5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5E0C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B774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066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277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9873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54.40</w:t>
            </w:r>
          </w:p>
        </w:tc>
      </w:tr>
      <w:tr w14:paraId="2525E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8562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4</w:t>
            </w: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38CB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本年还本付息</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6439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963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BEBE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C3FE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B4F2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770F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F083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C378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2196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25FD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709A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6314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3D63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F013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96AA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1086.40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5C5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1754.40</w:t>
            </w:r>
          </w:p>
        </w:tc>
      </w:tr>
      <w:tr w14:paraId="30291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1AA1BD">
            <w:pPr>
              <w:jc w:val="center"/>
              <w:rPr>
                <w:rFonts w:hint="eastAsia" w:ascii="仿宋" w:hAnsi="仿宋" w:eastAsia="仿宋" w:cs="仿宋"/>
                <w:i w:val="0"/>
                <w:iCs w:val="0"/>
                <w:color w:val="auto"/>
                <w:sz w:val="15"/>
                <w:szCs w:val="15"/>
                <w:highlight w:val="none"/>
                <w:u w:val="none"/>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6E74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还本</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A813A">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0E308">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B0B32">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B555B">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515E9">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BAB65">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F278D">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037D0">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A0D5E">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02DE4">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2220">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B5D20">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7F281">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29D53">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42EB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1000.00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4738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1700.00</w:t>
            </w:r>
          </w:p>
        </w:tc>
      </w:tr>
      <w:tr w14:paraId="179A0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A51A89">
            <w:pPr>
              <w:jc w:val="center"/>
              <w:rPr>
                <w:rFonts w:hint="eastAsia" w:ascii="仿宋" w:hAnsi="仿宋" w:eastAsia="仿宋" w:cs="仿宋"/>
                <w:i w:val="0"/>
                <w:iCs w:val="0"/>
                <w:color w:val="auto"/>
                <w:sz w:val="15"/>
                <w:szCs w:val="15"/>
                <w:highlight w:val="none"/>
                <w:u w:val="none"/>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46D4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付息</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8AC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8FF5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65A1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C3E4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72D1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2280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EF6C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D57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349C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A3BA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034D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DF73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72AD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8E74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9F5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F4BE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54.40</w:t>
            </w:r>
          </w:p>
        </w:tc>
      </w:tr>
      <w:tr w14:paraId="1D538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B559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5</w:t>
            </w: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42BB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期末本金金额</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E3FE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6C35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77A3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7F3C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288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8B8A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ED85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A46A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2B6C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E934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03A7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1EC4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5D90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2B0E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D13F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1700.00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7DF9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0.00</w:t>
            </w:r>
          </w:p>
        </w:tc>
      </w:tr>
      <w:tr w14:paraId="04A06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153C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二</w:t>
            </w:r>
          </w:p>
        </w:tc>
        <w:tc>
          <w:tcPr>
            <w:tcW w:w="705" w:type="pct"/>
            <w:tcBorders>
              <w:top w:val="single" w:color="000000" w:sz="4" w:space="0"/>
              <w:left w:val="single" w:color="000000" w:sz="4" w:space="0"/>
              <w:bottom w:val="single" w:color="000000" w:sz="4" w:space="0"/>
              <w:right w:val="nil"/>
            </w:tcBorders>
            <w:shd w:val="clear" w:color="auto" w:fill="auto"/>
            <w:vAlign w:val="center"/>
          </w:tcPr>
          <w:p w14:paraId="59E0ACA8">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还款资金来源及还款分析</w:t>
            </w:r>
          </w:p>
        </w:tc>
        <w:tc>
          <w:tcPr>
            <w:tcW w:w="260" w:type="pct"/>
            <w:tcBorders>
              <w:top w:val="single" w:color="000000" w:sz="4" w:space="0"/>
              <w:left w:val="nil"/>
              <w:bottom w:val="single" w:color="000000" w:sz="4" w:space="0"/>
              <w:right w:val="nil"/>
            </w:tcBorders>
            <w:shd w:val="clear" w:color="auto" w:fill="auto"/>
            <w:vAlign w:val="center"/>
          </w:tcPr>
          <w:p w14:paraId="728182EB">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0025F12C">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233D5782">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4E088E2C">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070C2FB0">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68529AF1">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276FA8FE">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6CC404A4">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259809B7">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58461F91">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23FEDFE6">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796D2EAC">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375D0FE5">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3054C2FF">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4D708C50">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single" w:color="000000" w:sz="4" w:space="0"/>
            </w:tcBorders>
            <w:shd w:val="clear" w:color="auto" w:fill="auto"/>
            <w:vAlign w:val="center"/>
          </w:tcPr>
          <w:p w14:paraId="11ED45A6">
            <w:pPr>
              <w:jc w:val="center"/>
              <w:rPr>
                <w:rFonts w:hint="eastAsia" w:ascii="仿宋" w:hAnsi="仿宋" w:eastAsia="仿宋" w:cs="仿宋"/>
                <w:b w:val="0"/>
                <w:bCs w:val="0"/>
                <w:i w:val="0"/>
                <w:iCs w:val="0"/>
                <w:color w:val="auto"/>
                <w:sz w:val="15"/>
                <w:szCs w:val="15"/>
                <w:highlight w:val="none"/>
                <w:u w:val="none"/>
              </w:rPr>
            </w:pPr>
          </w:p>
        </w:tc>
      </w:tr>
      <w:tr w14:paraId="4C2DD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1685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1</w:t>
            </w: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4889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还款资金来源</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E7C4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251.26</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F563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240.83</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A2DC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230.03</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7913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218.82</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981F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207.23</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10F0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195.23</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D14E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182.86</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2C55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170.07</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4D81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152.86</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AE2F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134.76</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14A4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116.11</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2F1A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96.96</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5282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77.26</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7967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57.01</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2057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36.21</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06E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14.86</w:t>
            </w:r>
          </w:p>
        </w:tc>
      </w:tr>
      <w:tr w14:paraId="6B2EA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E8EA2">
            <w:pPr>
              <w:jc w:val="center"/>
              <w:rPr>
                <w:rFonts w:hint="eastAsia" w:ascii="仿宋" w:hAnsi="仿宋" w:eastAsia="仿宋" w:cs="仿宋"/>
                <w:b w:val="0"/>
                <w:bCs w:val="0"/>
                <w:i w:val="0"/>
                <w:iCs w:val="0"/>
                <w:color w:val="auto"/>
                <w:sz w:val="15"/>
                <w:szCs w:val="15"/>
                <w:highlight w:val="none"/>
                <w:u w:val="none"/>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FCBD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当年净利润</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73CE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82.21</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B5D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71.78</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BA4B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60.98</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91D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49.77</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E872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38.18</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481A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26.18</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E123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13.81</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4C6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1.02</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43AA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-16.19</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F572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-34.29</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1FB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-52.94</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5EE8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-72.09</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58E3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-91.79</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9FAB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-112.04</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6FCC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-132.84</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C661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-122.19</w:t>
            </w:r>
          </w:p>
        </w:tc>
      </w:tr>
      <w:tr w14:paraId="29308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0CF0D">
            <w:pPr>
              <w:jc w:val="center"/>
              <w:rPr>
                <w:rFonts w:hint="eastAsia" w:ascii="仿宋" w:hAnsi="仿宋" w:eastAsia="仿宋" w:cs="仿宋"/>
                <w:b w:val="0"/>
                <w:bCs w:val="0"/>
                <w:i w:val="0"/>
                <w:iCs w:val="0"/>
                <w:color w:val="auto"/>
                <w:sz w:val="15"/>
                <w:szCs w:val="15"/>
                <w:highlight w:val="none"/>
                <w:u w:val="none"/>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EB381">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债券财务费用</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E009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4B63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B9BE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78ED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0765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6B10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147A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BFAC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2F1E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3A72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46D5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8472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D91F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5662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B0F8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86.40</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959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54.40</w:t>
            </w:r>
          </w:p>
        </w:tc>
      </w:tr>
      <w:tr w14:paraId="1B225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0CB8C">
            <w:pPr>
              <w:jc w:val="center"/>
              <w:rPr>
                <w:rFonts w:hint="eastAsia" w:ascii="仿宋" w:hAnsi="仿宋" w:eastAsia="仿宋" w:cs="仿宋"/>
                <w:b w:val="0"/>
                <w:bCs w:val="0"/>
                <w:i w:val="0"/>
                <w:iCs w:val="0"/>
                <w:color w:val="auto"/>
                <w:sz w:val="15"/>
                <w:szCs w:val="15"/>
                <w:highlight w:val="none"/>
                <w:u w:val="none"/>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6001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折旧及摊销</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AB50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25C3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234F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CC02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17EE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1976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C52B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0C14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9ED2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6460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072B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E263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FD8C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41F1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2E06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18D7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82.65</w:t>
            </w:r>
          </w:p>
        </w:tc>
      </w:tr>
      <w:tr w14:paraId="07565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7F437">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2</w:t>
            </w:r>
          </w:p>
        </w:tc>
        <w:tc>
          <w:tcPr>
            <w:tcW w:w="705" w:type="pct"/>
            <w:tcBorders>
              <w:top w:val="single" w:color="000000" w:sz="4" w:space="0"/>
              <w:left w:val="single" w:color="000000" w:sz="4" w:space="0"/>
              <w:bottom w:val="single" w:color="000000" w:sz="4" w:space="0"/>
              <w:right w:val="nil"/>
            </w:tcBorders>
            <w:shd w:val="clear" w:color="auto" w:fill="auto"/>
            <w:vAlign w:val="center"/>
          </w:tcPr>
          <w:p w14:paraId="6436EB6E">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sz w:val="15"/>
                <w:szCs w:val="15"/>
                <w:highlight w:val="none"/>
                <w:u w:val="none"/>
              </w:rPr>
            </w:pPr>
            <w:r>
              <w:rPr>
                <w:rFonts w:hint="eastAsia" w:ascii="仿宋" w:hAnsi="仿宋" w:eastAsia="仿宋" w:cs="仿宋"/>
                <w:b w:val="0"/>
                <w:bCs w:val="0"/>
                <w:i w:val="0"/>
                <w:iCs w:val="0"/>
                <w:color w:val="auto"/>
                <w:kern w:val="0"/>
                <w:sz w:val="15"/>
                <w:szCs w:val="15"/>
                <w:highlight w:val="none"/>
                <w:u w:val="none"/>
                <w:lang w:val="en-US" w:eastAsia="zh-CN" w:bidi="ar"/>
              </w:rPr>
              <w:t>本息偿还分析</w:t>
            </w:r>
          </w:p>
        </w:tc>
        <w:tc>
          <w:tcPr>
            <w:tcW w:w="260" w:type="pct"/>
            <w:tcBorders>
              <w:top w:val="single" w:color="000000" w:sz="4" w:space="0"/>
              <w:left w:val="nil"/>
              <w:bottom w:val="single" w:color="000000" w:sz="4" w:space="0"/>
              <w:right w:val="nil"/>
            </w:tcBorders>
            <w:shd w:val="clear" w:color="auto" w:fill="auto"/>
            <w:vAlign w:val="center"/>
          </w:tcPr>
          <w:p w14:paraId="7DCC3574">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0DD4F044">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2ECE2996">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3E4E329E">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51801572">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542E08EE">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1A9DB40F">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64EB7107">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6C94D710">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14589274">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508D7D26">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6B64B882">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375F911F">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69E0B094">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nil"/>
            </w:tcBorders>
            <w:shd w:val="clear" w:color="auto" w:fill="auto"/>
            <w:vAlign w:val="center"/>
          </w:tcPr>
          <w:p w14:paraId="784B6AE0">
            <w:pPr>
              <w:jc w:val="center"/>
              <w:rPr>
                <w:rFonts w:hint="eastAsia" w:ascii="仿宋" w:hAnsi="仿宋" w:eastAsia="仿宋" w:cs="仿宋"/>
                <w:b w:val="0"/>
                <w:bCs w:val="0"/>
                <w:i w:val="0"/>
                <w:iCs w:val="0"/>
                <w:color w:val="auto"/>
                <w:sz w:val="15"/>
                <w:szCs w:val="15"/>
                <w:highlight w:val="none"/>
                <w:u w:val="none"/>
              </w:rPr>
            </w:pPr>
          </w:p>
        </w:tc>
        <w:tc>
          <w:tcPr>
            <w:tcW w:w="260" w:type="pct"/>
            <w:tcBorders>
              <w:top w:val="single" w:color="000000" w:sz="4" w:space="0"/>
              <w:left w:val="nil"/>
              <w:bottom w:val="single" w:color="000000" w:sz="4" w:space="0"/>
              <w:right w:val="single" w:color="000000" w:sz="4" w:space="0"/>
            </w:tcBorders>
            <w:shd w:val="clear" w:color="auto" w:fill="auto"/>
            <w:vAlign w:val="center"/>
          </w:tcPr>
          <w:p w14:paraId="0380410C">
            <w:pPr>
              <w:jc w:val="center"/>
              <w:rPr>
                <w:rFonts w:hint="eastAsia" w:ascii="仿宋" w:hAnsi="仿宋" w:eastAsia="仿宋" w:cs="仿宋"/>
                <w:b w:val="0"/>
                <w:bCs w:val="0"/>
                <w:i w:val="0"/>
                <w:iCs w:val="0"/>
                <w:color w:val="auto"/>
                <w:sz w:val="15"/>
                <w:szCs w:val="15"/>
                <w:highlight w:val="none"/>
                <w:u w:val="none"/>
              </w:rPr>
            </w:pPr>
          </w:p>
        </w:tc>
      </w:tr>
      <w:tr w14:paraId="1DE69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13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FA6C1F">
            <w:pPr>
              <w:jc w:val="center"/>
              <w:rPr>
                <w:rFonts w:hint="eastAsia" w:ascii="仿宋" w:hAnsi="仿宋" w:eastAsia="仿宋" w:cs="仿宋"/>
                <w:i w:val="0"/>
                <w:iCs w:val="0"/>
                <w:color w:val="auto"/>
                <w:sz w:val="15"/>
                <w:szCs w:val="15"/>
                <w:highlight w:val="none"/>
                <w:u w:val="none"/>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21F1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rPr>
            </w:pPr>
            <w:r>
              <w:rPr>
                <w:rFonts w:hint="eastAsia" w:ascii="仿宋" w:hAnsi="仿宋" w:eastAsia="仿宋" w:cs="仿宋"/>
                <w:i w:val="0"/>
                <w:iCs w:val="0"/>
                <w:color w:val="auto"/>
                <w:kern w:val="0"/>
                <w:sz w:val="15"/>
                <w:szCs w:val="15"/>
                <w:highlight w:val="none"/>
                <w:u w:val="none"/>
                <w:lang w:val="en-US" w:eastAsia="zh-CN" w:bidi="ar"/>
              </w:rPr>
              <w:t>本息覆盖倍数</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34DD39">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68CF21">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881B44">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416D73">
            <w:pPr>
              <w:jc w:val="center"/>
              <w:rPr>
                <w:rFonts w:hint="eastAsia" w:ascii="仿宋" w:hAnsi="仿宋" w:eastAsia="仿宋" w:cs="仿宋"/>
                <w:i w:val="0"/>
                <w:iCs w:val="0"/>
                <w:color w:val="auto"/>
                <w:sz w:val="15"/>
                <w:szCs w:val="15"/>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8036C">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C6C4C">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18276">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6FDC3">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75AE9">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536F6">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CDE72">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D7C82">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0DF54">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949AD">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98DC3">
            <w:pPr>
              <w:jc w:val="center"/>
              <w:rPr>
                <w:rFonts w:hint="eastAsia" w:ascii="仿宋" w:hAnsi="仿宋" w:eastAsia="仿宋" w:cs="仿宋"/>
                <w:i w:val="0"/>
                <w:iCs w:val="0"/>
                <w:color w:val="auto"/>
                <w:sz w:val="22"/>
                <w:szCs w:val="22"/>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63A4B">
            <w:pPr>
              <w:jc w:val="center"/>
              <w:rPr>
                <w:rFonts w:hint="eastAsia" w:ascii="仿宋" w:hAnsi="仿宋" w:eastAsia="仿宋" w:cs="仿宋"/>
                <w:i w:val="0"/>
                <w:iCs w:val="0"/>
                <w:color w:val="auto"/>
                <w:sz w:val="22"/>
                <w:szCs w:val="22"/>
                <w:highlight w:val="none"/>
                <w:u w:val="none"/>
              </w:rPr>
            </w:pPr>
          </w:p>
        </w:tc>
      </w:tr>
    </w:tbl>
    <w:p w14:paraId="3D2B0693">
      <w:pPr>
        <w:ind w:firstLine="0"/>
        <w:rPr>
          <w:rFonts w:hint="eastAsia"/>
          <w:color w:val="auto"/>
          <w:highlight w:val="none"/>
        </w:rPr>
      </w:pPr>
    </w:p>
    <w:p w14:paraId="07E0BEF6">
      <w:pPr>
        <w:pStyle w:val="2"/>
        <w:rPr>
          <w:color w:val="auto"/>
          <w:highlight w:val="none"/>
        </w:rPr>
      </w:pPr>
    </w:p>
    <w:p w14:paraId="0F6FD24D">
      <w:pPr>
        <w:pStyle w:val="30"/>
        <w:rPr>
          <w:color w:val="auto"/>
          <w:highlight w:val="none"/>
        </w:rPr>
      </w:pPr>
    </w:p>
    <w:p w14:paraId="28097FD2">
      <w:pPr>
        <w:rPr>
          <w:color w:val="auto"/>
          <w:highlight w:val="none"/>
        </w:rPr>
      </w:pPr>
      <w:r>
        <w:rPr>
          <w:color w:val="auto"/>
          <w:highlight w:val="none"/>
        </w:rPr>
        <w:br w:type="page"/>
      </w:r>
    </w:p>
    <w:p w14:paraId="790311EE">
      <w:pPr>
        <w:pStyle w:val="30"/>
        <w:rPr>
          <w:color w:val="auto"/>
          <w:highlight w:val="none"/>
        </w:rPr>
      </w:pPr>
      <w:r>
        <w:rPr>
          <w:rFonts w:hint="eastAsia"/>
          <w:color w:val="auto"/>
          <w:highlight w:val="none"/>
          <w:lang w:val="en-US" w:eastAsia="zh-Hans"/>
        </w:rPr>
        <w:t>项目资金测算平衡表</w:t>
      </w:r>
      <w:r>
        <w:rPr>
          <w:rFonts w:hint="eastAsia"/>
          <w:color w:val="auto"/>
          <w:highlight w:val="none"/>
        </w:rPr>
        <w:t>（金额单位：人民币万元）</w:t>
      </w:r>
    </w:p>
    <w:tbl>
      <w:tblPr>
        <w:tblStyle w:val="1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3"/>
        <w:gridCol w:w="958"/>
        <w:gridCol w:w="756"/>
        <w:gridCol w:w="756"/>
        <w:gridCol w:w="1026"/>
        <w:gridCol w:w="621"/>
        <w:gridCol w:w="621"/>
        <w:gridCol w:w="688"/>
        <w:gridCol w:w="688"/>
        <w:gridCol w:w="688"/>
        <w:gridCol w:w="688"/>
        <w:gridCol w:w="688"/>
        <w:gridCol w:w="688"/>
        <w:gridCol w:w="688"/>
        <w:gridCol w:w="688"/>
        <w:gridCol w:w="688"/>
        <w:gridCol w:w="688"/>
        <w:gridCol w:w="688"/>
        <w:gridCol w:w="688"/>
        <w:gridCol w:w="689"/>
        <w:gridCol w:w="689"/>
        <w:gridCol w:w="689"/>
      </w:tblGrid>
      <w:tr w14:paraId="1F8B9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exac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9E68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FE8FE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项目</w:t>
            </w:r>
          </w:p>
        </w:tc>
        <w:tc>
          <w:tcPr>
            <w:tcW w:w="0" w:type="auto"/>
            <w:gridSpan w:val="2"/>
            <w:tcBorders>
              <w:top w:val="single" w:color="000000" w:sz="4" w:space="0"/>
              <w:left w:val="single" w:color="000000" w:sz="4" w:space="0"/>
              <w:bottom w:val="single" w:color="000000" w:sz="4" w:space="0"/>
              <w:right w:val="nil"/>
            </w:tcBorders>
            <w:shd w:val="clear" w:color="auto" w:fill="auto"/>
            <w:noWrap/>
            <w:vAlign w:val="center"/>
          </w:tcPr>
          <w:p w14:paraId="0DF5417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建设期投资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0AE7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运营期（年）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1BED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24EF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534D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6D1F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668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5A71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9B4E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3E9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69E9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A445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5439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DFBA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8244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569C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DE68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5F7A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5022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26BAD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513A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8B85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C81D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55F6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D508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8D0C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EB64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A671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0336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D2BF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D90B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1146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4913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1250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638F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7079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CF2A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C4B9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EDA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9D4A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3228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C445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18</w:t>
            </w:r>
          </w:p>
        </w:tc>
      </w:tr>
      <w:tr w14:paraId="771DE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5641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4D77C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经营活动净现金流量（1.1-1.2）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AC9D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1CD6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D701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364.39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11AA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357.19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E328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349.62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865C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342.01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0526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334.02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4BA3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325.99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632D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317.59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AF49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308.82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AB9D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300.01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CE99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290.82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E856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281.26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883C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271.66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A0B1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261.64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87CB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251.26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9E54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240.83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04EB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230.03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ED3B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218.82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BD46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207.23</w:t>
            </w:r>
          </w:p>
        </w:tc>
      </w:tr>
      <w:tr w14:paraId="240F5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C725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2FCFD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6829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167D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709C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A52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EDD2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BF04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91C8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D8CC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C179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D10F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BEF9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9CC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46A6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CF64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5C60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42EE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EA1A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324B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31F4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D3E7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r>
      <w:tr w14:paraId="7E335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984B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3F5A6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营业收入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2B2C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72A0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29C9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FE0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C17B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7D6A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3021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C48F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C574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5775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5028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64F3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37B5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09EF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B6D3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EAF3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AD32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F907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AAF3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06DD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r>
      <w:tr w14:paraId="4792A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83BA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2559B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补贴收入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45AB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228D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5F4A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A5B6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B0A6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56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1713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E149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A8B2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E227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CC4A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5D58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549D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E05D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8F44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B1E9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83F3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CD15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F47C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4CD6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r>
      <w:tr w14:paraId="77EE1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E7E7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D2AB2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其他流入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FC91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DD91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A142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A3B7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BAE2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97E8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9154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C359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A569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07F1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B80E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CBD3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343D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D1A9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9743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87E5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DF31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E857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FFEC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3078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2D5BD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7E3E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D8734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AF67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1B6B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F617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535.70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84D5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542.90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8D1C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550.47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A399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558.08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FCA8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566.07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D27B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574.10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0D14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582.50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FA38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591.27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CA22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600.08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553A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609.27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0B82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618.83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C0EF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628.43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5615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638.45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68EB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648.83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B12D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659.26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92F6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670.06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87E7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681.27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6CA9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692.86</w:t>
            </w:r>
          </w:p>
        </w:tc>
      </w:tr>
      <w:tr w14:paraId="09ED1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0349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D5E93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经营成本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EAAE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BE9D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18CE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441.74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CCDC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451.34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227F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461.44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2033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471.59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4CB0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482.24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DE5D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492.94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B421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504.14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40D6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515.84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2891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527.59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3997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539.84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5A27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552.59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A981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565.39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436B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578.74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B6A1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592.59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43DD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606.49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6CD2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620.89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6674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635.84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7EE7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651.29</w:t>
            </w:r>
          </w:p>
        </w:tc>
      </w:tr>
      <w:tr w14:paraId="35624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DEA1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8A8E6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税金及附加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77AC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E022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46C6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8685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B6E8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71E1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2FC2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3A16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AC3B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4EB0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F5C8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366E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8F0C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216B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904E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CCC0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9A70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B990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08EC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528F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r>
      <w:tr w14:paraId="59886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3920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555B0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所得税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46CA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61DC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FD91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4A9D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62.72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3BF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60.19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05FB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57.65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207E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FAB3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5C7A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49.52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843C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46.59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A86C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29D4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40.59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E498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37.40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BB0F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34.20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6D87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30.87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34DF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27.40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6E59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23.93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48EC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20.33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3D0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16.59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AC42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12.73</w:t>
            </w:r>
          </w:p>
        </w:tc>
      </w:tr>
      <w:tr w14:paraId="52433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C06C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044C8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投资活动净现金流量(2.1-2.2)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ACD8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-1277.08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754E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-2202.77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51FD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7A15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C2E5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C2F5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3E56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E742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3BC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66F7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01B9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3B5F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B553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E199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0CDE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E058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CCC2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13F8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5827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652E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2A46F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D585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DE5D1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188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2647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FD0D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6DD2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F2E3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9365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D568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B2CF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16A4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2528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866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6047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2410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56A4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C21A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1AF7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27DF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3AF3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D00F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FF59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0D275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2358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9BBE2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025F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1277.08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164A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2202.77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784D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A310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6BC9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18C4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0A89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CE2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3E5D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1405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E5BC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05BE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B191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5B05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EF67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E19C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819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18BD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5AC1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5F67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48A90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A101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49C98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建设投资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8B65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1277.08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9FB7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2202.77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DC34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5123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D749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53FD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B72D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5DCD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E71D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FBD0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730E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7253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787F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3D7E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DD82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5071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ECB5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EDD6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F88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4921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2A733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4EBB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75B4A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维持运营投资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51A6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991E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40BE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EC41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7C4A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2302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299F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09B2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9E13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4EF3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8FBF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8BD4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9E1B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7F94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3D03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1001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74B0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6802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7CEE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A6DB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1CF99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28A4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3DF5C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流动资金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B957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9D97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0867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0560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101E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1EC5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25D9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641A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82FD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E527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7736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6718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9FE7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20FC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9916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62F8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5B9B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7D13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402F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B830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7917B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8DA1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31457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其他流出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6419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F194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ABC9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2154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795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64D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7D11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4479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E95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D0EA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5FD7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894C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82CB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B6BA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F3DA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7CFB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8D96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F6F3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7743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78D0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75A03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1636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B258B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筹资活动净现金流量(3.1-3.2)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2AA2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1277.08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A06D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2202.77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FB52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612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E737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8456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8115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C751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01F8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F3A1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8573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541A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A5DD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8E54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B419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73A1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2FA5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AE01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F269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7EC1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r>
      <w:tr w14:paraId="56A37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0266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2EF50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6F37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1277.08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E292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2202.77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E4A6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30AD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DC4D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FA08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308C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A46A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FB2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675D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5941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8A60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8B38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BF39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75B9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55C8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C3DE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3DD5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8A66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76A3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697DB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47A0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A9914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项目资本金投入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F91A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277.08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E757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502.77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A7B8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E45C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1A7E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402C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2018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6148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37BD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41A7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A218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E588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AD29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90D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FBDF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5BA9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23ED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4DAE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82EA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D057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1AA1A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E53F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6A0E9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建设投资借款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DE95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7FE4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7648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DFD7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7C3D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A9B1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65AD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D8BC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256B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6207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7BCB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6FFB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AF21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D95B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38F9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EB3C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291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9B27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5BD3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9C61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79E28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0EF3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968C5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流动资金借款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BDC6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5013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598D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6D58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CD19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456E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B0D7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AA9E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738F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338A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9014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0B09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BDCA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4E07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93F2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2975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AB87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A458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DFBD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E1FF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06D19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46BD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CA4B0D">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kern w:val="0"/>
                <w:sz w:val="15"/>
                <w:szCs w:val="15"/>
                <w:highlight w:val="none"/>
                <w:u w:val="none"/>
                <w:lang w:bidi="ar"/>
              </w:rPr>
            </w:pPr>
            <w:r>
              <w:rPr>
                <w:rFonts w:hint="eastAsia" w:ascii="仿宋" w:hAnsi="仿宋" w:eastAsia="仿宋" w:cs="仿宋"/>
                <w:b w:val="0"/>
                <w:bCs w:val="0"/>
                <w:i w:val="0"/>
                <w:iCs w:val="0"/>
                <w:color w:val="auto"/>
                <w:kern w:val="0"/>
                <w:sz w:val="15"/>
                <w:szCs w:val="15"/>
                <w:highlight w:val="none"/>
                <w:u w:val="none"/>
                <w:lang w:val="en-US" w:eastAsia="zh-CN" w:bidi="ar"/>
              </w:rPr>
              <w:t>债券资金流入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0C53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1BA9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3B20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F5BF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5FEB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72C5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1AF3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F9E4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717A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3276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890B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303C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06DE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EFFD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30C2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F3B1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9C7B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C429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43BF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9A29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38B69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1A44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F61E2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kern w:val="0"/>
                <w:sz w:val="15"/>
                <w:szCs w:val="15"/>
                <w:highlight w:val="none"/>
                <w:u w:val="none"/>
                <w:lang w:bidi="ar"/>
              </w:rPr>
            </w:pPr>
            <w:r>
              <w:rPr>
                <w:rFonts w:hint="eastAsia" w:ascii="仿宋" w:hAnsi="仿宋" w:eastAsia="仿宋" w:cs="仿宋"/>
                <w:b w:val="0"/>
                <w:bCs w:val="0"/>
                <w:i w:val="0"/>
                <w:iCs w:val="0"/>
                <w:color w:val="auto"/>
                <w:kern w:val="0"/>
                <w:sz w:val="15"/>
                <w:szCs w:val="15"/>
                <w:highlight w:val="none"/>
                <w:u w:val="none"/>
                <w:lang w:val="en-US" w:eastAsia="zh-CN" w:bidi="ar"/>
              </w:rPr>
              <w:t>市场化融资流入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2A4E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FD29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5C7F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179B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1A2F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BCBD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C9DE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BB25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6341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D57E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F400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1807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D5F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B93E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BCEC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3648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1798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3013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844B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B33F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13B96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02C5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3977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其他流入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7FDB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DA53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82D1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D3C3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FF2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CF3B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9CC6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F87C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0C2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5151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E2D6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7836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B7D9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D455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E887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AABC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DA7C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2C12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456D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8769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0174A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8DB7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8FB8B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B702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4BA1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7F5D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9E3A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0EE4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7BE7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1C35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353F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D519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C6CC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EDBC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250C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068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7A9E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9864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5966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B62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D7C3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855E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9FD5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r>
      <w:tr w14:paraId="59346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2AF0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32E5D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各种利息支出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BD17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CB3E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A9C2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673E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681E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A642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C42D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00DD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4E6A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2FFF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D2F2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A481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8AC5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61B1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3676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E865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C7E0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47F0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96A1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AE1F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r>
      <w:tr w14:paraId="3A1B4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24D9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A76E0C">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kern w:val="0"/>
                <w:sz w:val="15"/>
                <w:szCs w:val="15"/>
                <w:highlight w:val="none"/>
                <w:u w:val="none"/>
                <w:lang w:bidi="ar"/>
              </w:rPr>
            </w:pPr>
            <w:r>
              <w:rPr>
                <w:rFonts w:hint="eastAsia" w:ascii="仿宋" w:hAnsi="仿宋" w:eastAsia="仿宋" w:cs="仿宋"/>
                <w:b w:val="0"/>
                <w:bCs w:val="0"/>
                <w:i w:val="0"/>
                <w:iCs w:val="0"/>
                <w:color w:val="auto"/>
                <w:kern w:val="0"/>
                <w:sz w:val="15"/>
                <w:szCs w:val="15"/>
                <w:highlight w:val="none"/>
                <w:u w:val="none"/>
                <w:lang w:val="en-US" w:eastAsia="zh-CN" w:bidi="ar"/>
              </w:rPr>
              <w:t>偿还债券本金流出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0322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E065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0B1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8CA1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88CE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2EC3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E9C4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6D76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A1FF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B61B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3C32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1EB8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F603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78FF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19C4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082C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0A6A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21A3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4A6B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6983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r>
      <w:tr w14:paraId="250C0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CDCA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1A94D4">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kern w:val="0"/>
                <w:sz w:val="15"/>
                <w:szCs w:val="15"/>
                <w:highlight w:val="none"/>
                <w:u w:val="none"/>
                <w:lang w:bidi="ar"/>
              </w:rPr>
            </w:pPr>
            <w:r>
              <w:rPr>
                <w:rFonts w:hint="eastAsia" w:ascii="仿宋" w:hAnsi="仿宋" w:eastAsia="仿宋" w:cs="仿宋"/>
                <w:b w:val="0"/>
                <w:bCs w:val="0"/>
                <w:i w:val="0"/>
                <w:iCs w:val="0"/>
                <w:color w:val="auto"/>
                <w:kern w:val="0"/>
                <w:sz w:val="15"/>
                <w:szCs w:val="15"/>
                <w:highlight w:val="none"/>
                <w:u w:val="none"/>
                <w:lang w:val="en-US" w:eastAsia="zh-CN" w:bidi="ar"/>
              </w:rPr>
              <w:t>偿还市场化融资本金流出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3C07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63E9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A58D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B42D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9D41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7834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D84B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8B87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E09C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F1F6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D047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0AEF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3FCD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1159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931E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8672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4ABE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3AAD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5976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DAAC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r>
      <w:tr w14:paraId="67A21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03D0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29E84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其他流出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4D33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512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6EFD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1475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82DA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A2E5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4D9C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877B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1902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1823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A5BF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B510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3B78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0D97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BADA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2EDD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7296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95E1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7611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908A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22734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A4FF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82EB9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净现金流量（1+2+3）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FF12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A87C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4801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277.99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B0AD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270.79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5FA7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263.22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2053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255.61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6780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247.62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3CBF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239.59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EFF7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231.19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AC9A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222.42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0ADF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213.61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7D4C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204.42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5B26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194.86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DD6D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185.26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FA46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175.24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4FBC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164.86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246F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154.43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3BD7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143.63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738D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132.42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1711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120.83</w:t>
            </w:r>
          </w:p>
        </w:tc>
      </w:tr>
      <w:tr w14:paraId="027BA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1C8A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39BA6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累计盈余资金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4CC1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0223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0F92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277.99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D166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548.78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C70D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057F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1067.61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86F3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1315.23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A21C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1554.82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56D6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1786.01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4A77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2008.43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D156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2222.04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2676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2426.46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24D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2621.32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4DAD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2806.58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5698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2981.82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59A9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3146.68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F67F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3301.11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26C8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3444.74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ACB5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3577.16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9796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3697.99</w:t>
            </w:r>
          </w:p>
        </w:tc>
      </w:tr>
    </w:tbl>
    <w:p w14:paraId="2C9BC6D0">
      <w:pPr>
        <w:rPr>
          <w:color w:val="auto"/>
          <w:highlight w:val="none"/>
        </w:rPr>
      </w:pPr>
      <w:r>
        <w:rPr>
          <w:color w:val="auto"/>
          <w:highlight w:val="none"/>
        </w:rPr>
        <w:br w:type="page"/>
      </w:r>
    </w:p>
    <w:tbl>
      <w:tblPr>
        <w:tblStyle w:val="15"/>
        <w:tblW w:w="499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72"/>
        <w:gridCol w:w="2696"/>
        <w:gridCol w:w="946"/>
        <w:gridCol w:w="946"/>
        <w:gridCol w:w="946"/>
        <w:gridCol w:w="946"/>
        <w:gridCol w:w="946"/>
        <w:gridCol w:w="946"/>
        <w:gridCol w:w="946"/>
        <w:gridCol w:w="946"/>
        <w:gridCol w:w="946"/>
        <w:gridCol w:w="1103"/>
        <w:gridCol w:w="1104"/>
        <w:gridCol w:w="1104"/>
      </w:tblGrid>
      <w:tr w14:paraId="700C5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B362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序号</w:t>
            </w:r>
          </w:p>
        </w:tc>
        <w:tc>
          <w:tcPr>
            <w:tcW w:w="8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810EE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项目</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83B2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C353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FB70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9943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DFF1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8A0A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70ED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93DB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4704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1E00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E1B2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50AC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合计</w:t>
            </w:r>
          </w:p>
        </w:tc>
      </w:tr>
      <w:tr w14:paraId="3D4EB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7EB1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8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F9D77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519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9E50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54B9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21</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CAD7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F304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3732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3331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25</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AADB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797F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27</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4122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719F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29</w:t>
            </w: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72D5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622B6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23C4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AE38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经营活动净现金流量（1.1-1.2）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9AD0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195.23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249F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182.86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11FB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170.07</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79DE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152.86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C63F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134.76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3EC5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116.11</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6495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96.96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5A04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77.26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BB3B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57.01</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3D8C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36.21</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D81F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14.86</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F0F3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6487.38</w:t>
            </w:r>
          </w:p>
        </w:tc>
      </w:tr>
      <w:tr w14:paraId="1C996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62A2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5301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EBB7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2F44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6161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394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F0BA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2FDA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781C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C1D3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18EB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91DD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3CA6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66C0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26102.61</w:t>
            </w:r>
          </w:p>
        </w:tc>
      </w:tr>
      <w:tr w14:paraId="0E249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F077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4061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营业收入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0A77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4B34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1BD6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E3BA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8B43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BDBE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27A0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959D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704C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C450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4B0E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900.09</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444D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26102.61</w:t>
            </w:r>
          </w:p>
        </w:tc>
      </w:tr>
      <w:tr w14:paraId="79718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7749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CCAB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补贴收入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CA57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5525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9FAB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8BE1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7B53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91E9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2671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671E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CB3C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3375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B2BA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C6DB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1566C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0C00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1.1.3</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E75F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其他流入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DE6E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DA85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1ABA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CF3E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2FD6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F31B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6257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F67F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542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94BC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344A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E2C3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2EDE6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D18B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2A5B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D110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704.86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1AEC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717.23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BDD5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730.02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AFBF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747.23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845A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765.33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E45C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783.98</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43C2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803.13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6F32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822.83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CDC5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843.08</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9E2D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863.88</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EA53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885.23</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2FBF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19615.23</w:t>
            </w:r>
          </w:p>
        </w:tc>
      </w:tr>
      <w:tr w14:paraId="037BB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157B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E47A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经营成本</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9C35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667.29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5068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683.79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F128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700.84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DA20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718.39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DF39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736.49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CDAB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755.14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96F2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774.29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0FE5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793.99</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11D6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814.24</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A9DF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835.04</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29EA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856.39</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4BCC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18028.41</w:t>
            </w:r>
          </w:p>
        </w:tc>
      </w:tr>
      <w:tr w14:paraId="677FD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533F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1E7F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税金及附加</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AEAF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DB63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8AE3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ED44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4604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AA17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66A6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1E85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9BC2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CD83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0458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28.84</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BD1E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836.36</w:t>
            </w:r>
          </w:p>
        </w:tc>
      </w:tr>
      <w:tr w14:paraId="44FEC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BE40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1.2.3</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9C4F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所得税</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A44D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8.73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2805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4.60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8DBB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0.34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7EF6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E0DD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7C3C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C4EE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7DE4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5E51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3CF2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66A4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763B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750.46</w:t>
            </w:r>
          </w:p>
        </w:tc>
      </w:tr>
      <w:tr w14:paraId="1AC02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055D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32B8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投资活动净现金流量(2.1-2.2)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E0E5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9145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9751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6113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C8B0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3A45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F8D9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90AD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6B63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F2A1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821D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2F03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-3479.85</w:t>
            </w:r>
          </w:p>
        </w:tc>
      </w:tr>
      <w:tr w14:paraId="05EE5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616E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EE83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634D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8ED6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2321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B1A1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B6DA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3642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FF69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07EE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A752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67D1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8648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5151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09E1C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3757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A418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5C66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120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ACE0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22D7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6977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A836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0425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AE96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88CA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D179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8DAC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4A2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3479.85</w:t>
            </w:r>
          </w:p>
        </w:tc>
      </w:tr>
      <w:tr w14:paraId="6403F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8956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ABC1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建设投资</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D1E4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9EFB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6427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3DE3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C56B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1211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0445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E0BD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7D1C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A2E1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F476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7879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3479.85</w:t>
            </w:r>
          </w:p>
        </w:tc>
      </w:tr>
      <w:tr w14:paraId="3DE46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F973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583F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维持运营投资</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C488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D505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681B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4DC3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17BD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1FCA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A155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57DE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C814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45FF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687E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BABE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139AB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800B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2.2.3</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E869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流动资金</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E1E4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941B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9AF4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31A5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87D2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3AF3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C0D4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BF4E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50D9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E497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4F96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D1CC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56738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6F14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2.2.4</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66E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其他流出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E6B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14F9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5175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BD1A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7893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BC40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B71D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CB4A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26E4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6508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5425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B168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312EB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31F0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5753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筹资活动净现金流量(3.1-3.2)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1364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9E72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FBAC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665A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1541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ED31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514F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7C39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AE39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4820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-1086.40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327E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-1754.40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4F13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-1693.75</w:t>
            </w:r>
          </w:p>
        </w:tc>
      </w:tr>
      <w:tr w14:paraId="37109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6F52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C644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3CA6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483C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542A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9E2B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F2D6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F00E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D63F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7D9D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A9BF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2DDC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99DE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0F0A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3479.85</w:t>
            </w:r>
          </w:p>
        </w:tc>
      </w:tr>
      <w:tr w14:paraId="20AE4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1944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EC97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项目资本金投入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4648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CF3E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359E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8B2A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7FE0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EF35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8A0E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455B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B394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72C8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41CB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C33E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779.85</w:t>
            </w:r>
          </w:p>
        </w:tc>
      </w:tr>
      <w:tr w14:paraId="33A4E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2E56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D5EF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建设投资借款</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2B50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C05C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9D36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1522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4392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FFFC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6067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BE2E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F691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FFB2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474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4EB7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4DDF3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6A3D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3.1.3</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FFA0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流动资金借款</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5CFE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F072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0CAC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1CE4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C765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A9F3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D0EA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935C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95FB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A68C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FEA8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6640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57F3A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CEC4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3.1.4</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ABF5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kern w:val="0"/>
                <w:sz w:val="15"/>
                <w:szCs w:val="15"/>
                <w:highlight w:val="none"/>
                <w:u w:val="none"/>
                <w:lang w:bidi="ar"/>
              </w:rPr>
            </w:pPr>
            <w:r>
              <w:rPr>
                <w:rFonts w:hint="eastAsia" w:ascii="仿宋" w:hAnsi="仿宋" w:eastAsia="仿宋" w:cs="仿宋"/>
                <w:b w:val="0"/>
                <w:bCs w:val="0"/>
                <w:i w:val="0"/>
                <w:iCs w:val="0"/>
                <w:color w:val="auto"/>
                <w:kern w:val="0"/>
                <w:sz w:val="15"/>
                <w:szCs w:val="15"/>
                <w:highlight w:val="none"/>
                <w:u w:val="none"/>
                <w:lang w:val="en-US" w:eastAsia="zh-CN" w:bidi="ar"/>
              </w:rPr>
              <w:t>债券资金流入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234A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2C2B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5E6D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EDA7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F1B7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014B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38E5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F7AC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A45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0C54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39C6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B9B9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2700.00</w:t>
            </w:r>
          </w:p>
        </w:tc>
      </w:tr>
      <w:tr w14:paraId="7A10E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2AD6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3.1.5</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9C91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kern w:val="0"/>
                <w:sz w:val="15"/>
                <w:szCs w:val="15"/>
                <w:highlight w:val="none"/>
                <w:u w:val="none"/>
                <w:lang w:bidi="ar"/>
              </w:rPr>
            </w:pPr>
            <w:r>
              <w:rPr>
                <w:rFonts w:hint="eastAsia" w:ascii="仿宋" w:hAnsi="仿宋" w:eastAsia="仿宋" w:cs="仿宋"/>
                <w:b w:val="0"/>
                <w:bCs w:val="0"/>
                <w:i w:val="0"/>
                <w:iCs w:val="0"/>
                <w:color w:val="auto"/>
                <w:kern w:val="0"/>
                <w:sz w:val="15"/>
                <w:szCs w:val="15"/>
                <w:highlight w:val="none"/>
                <w:u w:val="none"/>
                <w:lang w:val="en-US" w:eastAsia="zh-CN" w:bidi="ar"/>
              </w:rPr>
              <w:t>市场化融资流入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24A8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1050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D627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1AD3B">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635D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84DB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C4BB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5EA6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D28D5">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18FAE">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D9C90">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DA4E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r>
      <w:tr w14:paraId="187FD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8357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3.1.6</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658A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其他流入</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A140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9A16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6D0E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7B1E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B866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D4A6C">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15C79">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0AB1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87B9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106D8">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55D9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C271D">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r w14:paraId="7B09F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3525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FCAB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现金流出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2314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7F80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D2A5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B013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5998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CFAC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BED6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A9E8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CBB6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EF4E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1086.40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BEE1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1754.40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64DC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5173.60</w:t>
            </w:r>
          </w:p>
        </w:tc>
      </w:tr>
      <w:tr w14:paraId="50C8A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E824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3.2.1</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3094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各种利息支出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AAFD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6BDA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C5B2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FDA8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A003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05B0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6955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EE65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FC9C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4FB5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86.40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6C5F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54.40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3FB4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2473.60</w:t>
            </w:r>
          </w:p>
        </w:tc>
      </w:tr>
      <w:tr w14:paraId="2E928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AD55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3.2.2</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08973">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kern w:val="0"/>
                <w:sz w:val="15"/>
                <w:szCs w:val="15"/>
                <w:highlight w:val="none"/>
                <w:u w:val="none"/>
                <w:lang w:bidi="ar"/>
              </w:rPr>
            </w:pPr>
            <w:r>
              <w:rPr>
                <w:rFonts w:hint="eastAsia" w:ascii="仿宋" w:hAnsi="仿宋" w:eastAsia="仿宋" w:cs="仿宋"/>
                <w:b w:val="0"/>
                <w:bCs w:val="0"/>
                <w:i w:val="0"/>
                <w:iCs w:val="0"/>
                <w:color w:val="auto"/>
                <w:kern w:val="0"/>
                <w:sz w:val="15"/>
                <w:szCs w:val="15"/>
                <w:highlight w:val="none"/>
                <w:u w:val="none"/>
                <w:lang w:val="en-US" w:eastAsia="zh-CN" w:bidi="ar"/>
              </w:rPr>
              <w:t>偿还债券本金流出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FA8F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B014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6D84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DB95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2EB1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BE42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9481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3E18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18AF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1781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1000.00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3E56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1700.00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3E24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2700.00</w:t>
            </w:r>
          </w:p>
        </w:tc>
      </w:tr>
      <w:tr w14:paraId="73CE9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3D5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3.2.3</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BED39">
            <w:pPr>
              <w:keepNext w:val="0"/>
              <w:keepLines w:val="0"/>
              <w:widowControl/>
              <w:suppressLineNumbers w:val="0"/>
              <w:spacing w:line="240" w:lineRule="auto"/>
              <w:ind w:firstLine="0" w:firstLineChars="0"/>
              <w:jc w:val="center"/>
              <w:textAlignment w:val="center"/>
              <w:rPr>
                <w:rFonts w:hint="eastAsia" w:ascii="仿宋" w:hAnsi="仿宋" w:eastAsia="仿宋" w:cs="仿宋"/>
                <w:b w:val="0"/>
                <w:bCs w:val="0"/>
                <w:i w:val="0"/>
                <w:iCs w:val="0"/>
                <w:color w:val="auto"/>
                <w:kern w:val="0"/>
                <w:sz w:val="15"/>
                <w:szCs w:val="15"/>
                <w:highlight w:val="none"/>
                <w:u w:val="none"/>
                <w:lang w:bidi="ar"/>
              </w:rPr>
            </w:pPr>
            <w:r>
              <w:rPr>
                <w:rFonts w:hint="eastAsia" w:ascii="仿宋" w:hAnsi="仿宋" w:eastAsia="仿宋" w:cs="仿宋"/>
                <w:b w:val="0"/>
                <w:bCs w:val="0"/>
                <w:i w:val="0"/>
                <w:iCs w:val="0"/>
                <w:color w:val="auto"/>
                <w:kern w:val="0"/>
                <w:sz w:val="15"/>
                <w:szCs w:val="15"/>
                <w:highlight w:val="none"/>
                <w:u w:val="none"/>
                <w:lang w:val="en-US" w:eastAsia="zh-CN" w:bidi="ar"/>
              </w:rPr>
              <w:t>偿还市场化融资本金流出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FE16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0004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801B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5620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D80A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4E51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D842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C681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7C4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8C34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2080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B9E7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r>
      <w:tr w14:paraId="28A92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5854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3.2.4</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A9CB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其他流出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EA116">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2758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DF2D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B75F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81B12">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2BF9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9C8DF">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89974">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DF8F7">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D1F5A">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59983">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63AD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0.00</w:t>
            </w:r>
          </w:p>
        </w:tc>
      </w:tr>
      <w:tr w14:paraId="38F52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E130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56A5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净现金流量（1+2+3）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7CD5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108.83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177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96.46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C744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83.67</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686F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66.46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F8B1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48.36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2964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29.71</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2A9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10.56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716B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-9.14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C2B8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-29.39</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2085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-1050.19</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DCD4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-1739.54</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7E52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1313.78</w:t>
            </w:r>
          </w:p>
        </w:tc>
      </w:tr>
      <w:tr w14:paraId="4DC78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exact"/>
          <w:jc w:val="center"/>
        </w:trPr>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48FE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5</w:t>
            </w:r>
          </w:p>
        </w:tc>
        <w:tc>
          <w:tcPr>
            <w:tcW w:w="8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760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累计盈余资金</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B7C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3806.82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D490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3903.28</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97FF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3986.95</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06BA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4053.41</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DD5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4101.77</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CF02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4131.48</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EA38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4142.04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B89F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4132.90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B65B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4103.51</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326C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3053.32</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786C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r>
              <w:rPr>
                <w:rFonts w:hint="eastAsia" w:ascii="仿宋" w:hAnsi="仿宋" w:eastAsia="仿宋" w:cs="仿宋"/>
                <w:i w:val="0"/>
                <w:iCs w:val="0"/>
                <w:color w:val="auto"/>
                <w:kern w:val="0"/>
                <w:sz w:val="15"/>
                <w:szCs w:val="15"/>
                <w:highlight w:val="none"/>
                <w:u w:val="none"/>
                <w:lang w:val="en-US" w:eastAsia="zh-CN" w:bidi="ar"/>
              </w:rPr>
              <w:t>1313.78</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19001">
            <w:pPr>
              <w:spacing w:line="240" w:lineRule="auto"/>
              <w:ind w:firstLine="0" w:firstLineChars="0"/>
              <w:jc w:val="center"/>
              <w:textAlignment w:val="center"/>
              <w:rPr>
                <w:rFonts w:hint="eastAsia" w:ascii="仿宋" w:hAnsi="仿宋" w:eastAsia="仿宋" w:cs="仿宋"/>
                <w:i w:val="0"/>
                <w:iCs w:val="0"/>
                <w:color w:val="auto"/>
                <w:kern w:val="0"/>
                <w:sz w:val="15"/>
                <w:szCs w:val="15"/>
                <w:highlight w:val="none"/>
                <w:u w:val="none"/>
                <w:lang w:bidi="ar"/>
              </w:rPr>
            </w:pPr>
          </w:p>
        </w:tc>
      </w:tr>
    </w:tbl>
    <w:p w14:paraId="080898F5">
      <w:pPr>
        <w:rPr>
          <w:color w:val="auto"/>
          <w:highlight w:val="none"/>
        </w:rPr>
      </w:pPr>
    </w:p>
    <w:p w14:paraId="364670DB">
      <w:pPr>
        <w:pStyle w:val="19"/>
        <w:ind w:firstLine="440"/>
        <w:rPr>
          <w:color w:val="auto"/>
          <w:highlight w:val="none"/>
        </w:rPr>
        <w:sectPr>
          <w:pgSz w:w="16838" w:h="11906" w:orient="landscape"/>
          <w:pgMar w:top="720" w:right="720" w:bottom="720" w:left="720" w:header="709" w:footer="567" w:gutter="0"/>
          <w:cols w:space="425" w:num="1"/>
          <w:docGrid w:type="lines" w:linePitch="326" w:charSpace="0"/>
        </w:sectPr>
      </w:pPr>
    </w:p>
    <w:p w14:paraId="0D7E530D">
      <w:pPr>
        <w:spacing w:line="560" w:lineRule="exact"/>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五、项目绩效目标</w:t>
      </w:r>
    </w:p>
    <w:p w14:paraId="6F739780">
      <w:pPr>
        <w:spacing w:before="157" w:beforeLines="50" w:after="157" w:afterLines="50" w:line="360" w:lineRule="auto"/>
        <w:ind w:firstLine="643"/>
        <w:outlineLvl w:val="1"/>
        <w:rPr>
          <w:rFonts w:hint="default" w:ascii="楷体_GB2312" w:hAnsi="Calibri" w:eastAsia="楷体_GB2312"/>
          <w:b/>
          <w:color w:val="auto"/>
          <w:sz w:val="32"/>
          <w:szCs w:val="32"/>
          <w:highlight w:val="none"/>
          <w:lang w:val="en-US" w:eastAsia="zh-Hans"/>
        </w:rPr>
      </w:pPr>
      <w:r>
        <w:rPr>
          <w:rFonts w:hint="eastAsia" w:ascii="楷体_GB2312" w:hAnsi="Calibri" w:eastAsia="楷体_GB2312"/>
          <w:b/>
          <w:color w:val="auto"/>
          <w:sz w:val="32"/>
          <w:szCs w:val="32"/>
          <w:highlight w:val="none"/>
        </w:rPr>
        <w:t>（一）</w:t>
      </w:r>
      <w:r>
        <w:rPr>
          <w:rFonts w:hint="eastAsia" w:ascii="楷体_GB2312" w:hAnsi="Calibri" w:eastAsia="楷体_GB2312"/>
          <w:b/>
          <w:color w:val="auto"/>
          <w:sz w:val="32"/>
          <w:szCs w:val="32"/>
          <w:highlight w:val="none"/>
          <w:lang w:val="en-US" w:eastAsia="zh-Hans"/>
        </w:rPr>
        <w:t>产出目标</w:t>
      </w:r>
    </w:p>
    <w:p w14:paraId="2FD213C2">
      <w:pPr>
        <w:pageBreakBefore w:val="0"/>
        <w:kinsoku/>
        <w:wordWrap/>
        <w:overflowPunct/>
        <w:topLinePunct w:val="0"/>
        <w:autoSpaceDE/>
        <w:autoSpaceDN/>
        <w:bidi w:val="0"/>
        <w:adjustRightInd w:val="0"/>
        <w:snapToGrid w:val="0"/>
        <w:spacing w:line="360" w:lineRule="auto"/>
        <w:ind w:firstLine="480" w:firstLineChars="200"/>
        <w:rPr>
          <w:rFonts w:hint="eastAsia"/>
          <w:bCs/>
          <w:color w:val="auto"/>
          <w:highlight w:val="none"/>
          <w:lang w:val="en-US" w:eastAsia="zh-CN"/>
        </w:rPr>
      </w:pPr>
      <w:r>
        <w:rPr>
          <w:rFonts w:hint="eastAsia"/>
          <w:bCs/>
          <w:color w:val="auto"/>
          <w:highlight w:val="none"/>
          <w:lang w:val="en-US" w:eastAsia="zh-CN"/>
        </w:rPr>
        <w:t>数量目标：</w:t>
      </w:r>
      <w:r>
        <w:rPr>
          <w:rFonts w:hint="eastAsia"/>
          <w:snapToGrid w:val="0"/>
          <w:color w:val="auto"/>
          <w:kern w:val="0"/>
          <w:sz w:val="24"/>
          <w:szCs w:val="24"/>
          <w:highlight w:val="none"/>
        </w:rPr>
        <w:t>取水口改造由</w:t>
      </w:r>
      <w:r>
        <w:rPr>
          <w:rFonts w:hint="eastAsia"/>
          <w:snapToGrid w:val="0"/>
          <w:color w:val="auto"/>
          <w:kern w:val="0"/>
          <w:sz w:val="24"/>
          <w:szCs w:val="24"/>
          <w:highlight w:val="none"/>
          <w:lang w:val="en-US" w:eastAsia="zh-CN"/>
        </w:rPr>
        <w:t>12</w:t>
      </w:r>
      <w:r>
        <w:rPr>
          <w:rFonts w:hint="eastAsia"/>
          <w:snapToGrid w:val="0"/>
          <w:color w:val="auto"/>
          <w:kern w:val="0"/>
          <w:sz w:val="24"/>
          <w:szCs w:val="24"/>
          <w:highlight w:val="none"/>
        </w:rPr>
        <w:t>00m长DN1000</w:t>
      </w:r>
      <w:r>
        <w:rPr>
          <w:rFonts w:hint="eastAsia"/>
          <w:snapToGrid w:val="0"/>
          <w:color w:val="auto"/>
          <w:kern w:val="0"/>
          <w:sz w:val="24"/>
          <w:szCs w:val="24"/>
          <w:highlight w:val="none"/>
          <w:lang w:val="en-US" w:eastAsia="zh-CN"/>
        </w:rPr>
        <w:t>~</w:t>
      </w:r>
      <w:r>
        <w:rPr>
          <w:rFonts w:hint="eastAsia"/>
          <w:snapToGrid w:val="0"/>
          <w:color w:val="auto"/>
          <w:kern w:val="0"/>
          <w:sz w:val="24"/>
          <w:szCs w:val="24"/>
          <w:highlight w:val="none"/>
        </w:rPr>
        <w:t>DN1</w:t>
      </w:r>
      <w:r>
        <w:rPr>
          <w:rFonts w:hint="eastAsia"/>
          <w:snapToGrid w:val="0"/>
          <w:color w:val="auto"/>
          <w:kern w:val="0"/>
          <w:sz w:val="24"/>
          <w:szCs w:val="24"/>
          <w:highlight w:val="none"/>
          <w:lang w:val="en-US" w:eastAsia="zh-CN"/>
        </w:rPr>
        <w:t>5</w:t>
      </w:r>
      <w:r>
        <w:rPr>
          <w:rFonts w:hint="eastAsia"/>
          <w:snapToGrid w:val="0"/>
          <w:color w:val="auto"/>
          <w:kern w:val="0"/>
          <w:sz w:val="24"/>
          <w:szCs w:val="24"/>
          <w:highlight w:val="none"/>
        </w:rPr>
        <w:t>00桥式滤水管，集水井</w:t>
      </w:r>
      <w:r>
        <w:rPr>
          <w:rFonts w:hint="eastAsia"/>
          <w:snapToGrid w:val="0"/>
          <w:color w:val="auto"/>
          <w:kern w:val="0"/>
          <w:sz w:val="24"/>
          <w:szCs w:val="24"/>
          <w:highlight w:val="none"/>
          <w:lang w:val="en-US" w:eastAsia="zh-CN"/>
        </w:rPr>
        <w:t>1座</w:t>
      </w:r>
      <w:r>
        <w:rPr>
          <w:rFonts w:hint="eastAsia"/>
          <w:snapToGrid w:val="0"/>
          <w:color w:val="auto"/>
          <w:kern w:val="0"/>
          <w:sz w:val="24"/>
          <w:szCs w:val="24"/>
          <w:highlight w:val="none"/>
        </w:rPr>
        <w:t>，输水箱涵</w:t>
      </w:r>
      <w:r>
        <w:rPr>
          <w:rFonts w:hint="eastAsia"/>
          <w:snapToGrid w:val="0"/>
          <w:color w:val="auto"/>
          <w:kern w:val="0"/>
          <w:sz w:val="24"/>
          <w:szCs w:val="24"/>
          <w:highlight w:val="none"/>
          <w:lang w:val="en-US" w:eastAsia="zh-CN"/>
        </w:rPr>
        <w:t>长57m</w:t>
      </w:r>
      <w:r>
        <w:rPr>
          <w:rFonts w:hint="eastAsia"/>
          <w:snapToGrid w:val="0"/>
          <w:color w:val="auto"/>
          <w:kern w:val="0"/>
          <w:sz w:val="24"/>
          <w:szCs w:val="24"/>
          <w:highlight w:val="none"/>
        </w:rPr>
        <w:t>，进水闸</w:t>
      </w:r>
      <w:r>
        <w:rPr>
          <w:rFonts w:hint="eastAsia"/>
          <w:snapToGrid w:val="0"/>
          <w:color w:val="auto"/>
          <w:kern w:val="0"/>
          <w:sz w:val="24"/>
          <w:szCs w:val="24"/>
          <w:highlight w:val="none"/>
          <w:lang w:val="en-US" w:eastAsia="zh-CN"/>
        </w:rPr>
        <w:t>1座</w:t>
      </w:r>
      <w:r>
        <w:rPr>
          <w:rFonts w:hint="eastAsia"/>
          <w:snapToGrid w:val="0"/>
          <w:color w:val="auto"/>
          <w:kern w:val="0"/>
          <w:sz w:val="24"/>
          <w:szCs w:val="24"/>
          <w:highlight w:val="none"/>
        </w:rPr>
        <w:t>，挡墙</w:t>
      </w:r>
      <w:r>
        <w:rPr>
          <w:rFonts w:hint="eastAsia"/>
          <w:snapToGrid w:val="0"/>
          <w:color w:val="auto"/>
          <w:kern w:val="0"/>
          <w:sz w:val="24"/>
          <w:szCs w:val="24"/>
          <w:highlight w:val="none"/>
          <w:lang w:val="en-US" w:eastAsia="zh-CN"/>
        </w:rPr>
        <w:t>长</w:t>
      </w:r>
      <w:r>
        <w:rPr>
          <w:rFonts w:hint="eastAsia"/>
          <w:snapToGrid w:val="0"/>
          <w:color w:val="auto"/>
          <w:kern w:val="0"/>
          <w:sz w:val="24"/>
          <w:szCs w:val="24"/>
          <w:highlight w:val="none"/>
        </w:rPr>
        <w:t>2</w:t>
      </w:r>
      <w:r>
        <w:rPr>
          <w:rFonts w:hint="eastAsia"/>
          <w:snapToGrid w:val="0"/>
          <w:color w:val="auto"/>
          <w:kern w:val="0"/>
          <w:sz w:val="24"/>
          <w:szCs w:val="24"/>
          <w:highlight w:val="none"/>
          <w:lang w:val="en-US" w:eastAsia="zh-CN"/>
        </w:rPr>
        <w:t>09</w:t>
      </w:r>
      <w:r>
        <w:rPr>
          <w:rFonts w:hint="eastAsia"/>
          <w:snapToGrid w:val="0"/>
          <w:color w:val="auto"/>
          <w:kern w:val="0"/>
          <w:sz w:val="24"/>
          <w:szCs w:val="24"/>
          <w:highlight w:val="none"/>
        </w:rPr>
        <w:t>m组成</w:t>
      </w:r>
      <w:r>
        <w:rPr>
          <w:rFonts w:hint="eastAsia"/>
          <w:color w:val="auto"/>
          <w:highlight w:val="none"/>
        </w:rPr>
        <w:t>。</w:t>
      </w:r>
    </w:p>
    <w:p w14:paraId="063666C6">
      <w:pPr>
        <w:pageBreakBefore w:val="0"/>
        <w:kinsoku/>
        <w:wordWrap/>
        <w:overflowPunct/>
        <w:topLinePunct w:val="0"/>
        <w:autoSpaceDE/>
        <w:autoSpaceDN/>
        <w:bidi w:val="0"/>
        <w:adjustRightInd w:val="0"/>
        <w:snapToGrid w:val="0"/>
        <w:spacing w:line="360" w:lineRule="auto"/>
        <w:ind w:firstLine="480" w:firstLineChars="200"/>
        <w:rPr>
          <w:rFonts w:hint="default"/>
          <w:bCs/>
          <w:color w:val="auto"/>
          <w:highlight w:val="none"/>
          <w:lang w:val="en-US" w:eastAsia="zh-CN"/>
        </w:rPr>
      </w:pPr>
      <w:r>
        <w:rPr>
          <w:rFonts w:hint="eastAsia"/>
          <w:bCs/>
          <w:color w:val="auto"/>
          <w:highlight w:val="none"/>
          <w:lang w:val="en-US" w:eastAsia="zh-CN"/>
        </w:rPr>
        <w:t>质量目标：符合验收标准，达到行业基准水平。</w:t>
      </w:r>
    </w:p>
    <w:p w14:paraId="18225913">
      <w:pPr>
        <w:pageBreakBefore w:val="0"/>
        <w:kinsoku/>
        <w:wordWrap/>
        <w:overflowPunct/>
        <w:topLinePunct w:val="0"/>
        <w:autoSpaceDE/>
        <w:autoSpaceDN/>
        <w:bidi w:val="0"/>
        <w:adjustRightInd w:val="0"/>
        <w:snapToGrid w:val="0"/>
        <w:spacing w:line="360" w:lineRule="auto"/>
        <w:ind w:firstLine="480" w:firstLineChars="200"/>
        <w:rPr>
          <w:rFonts w:hint="default"/>
          <w:bCs/>
          <w:color w:val="auto"/>
          <w:highlight w:val="none"/>
          <w:lang w:val="en-US" w:eastAsia="zh-CN"/>
        </w:rPr>
      </w:pPr>
      <w:r>
        <w:rPr>
          <w:rFonts w:hint="eastAsia"/>
          <w:bCs/>
          <w:color w:val="auto"/>
          <w:highlight w:val="none"/>
          <w:lang w:val="en-US" w:eastAsia="zh-CN"/>
        </w:rPr>
        <w:t>时效目标：本项目建设期跨度2年，严格执行工程建设程序，合理有序的安排项目建设进度。</w:t>
      </w:r>
    </w:p>
    <w:p w14:paraId="71F0D064">
      <w:pPr>
        <w:pageBreakBefore w:val="0"/>
        <w:kinsoku/>
        <w:wordWrap/>
        <w:overflowPunct/>
        <w:topLinePunct w:val="0"/>
        <w:autoSpaceDE/>
        <w:autoSpaceDN/>
        <w:bidi w:val="0"/>
        <w:adjustRightInd w:val="0"/>
        <w:snapToGrid w:val="0"/>
        <w:spacing w:line="360" w:lineRule="auto"/>
        <w:ind w:firstLine="480" w:firstLineChars="200"/>
        <w:rPr>
          <w:rFonts w:hint="default"/>
          <w:bCs/>
          <w:color w:val="auto"/>
          <w:highlight w:val="none"/>
          <w:lang w:val="en-US" w:eastAsia="zh-CN"/>
        </w:rPr>
      </w:pPr>
      <w:r>
        <w:rPr>
          <w:rFonts w:hint="eastAsia"/>
          <w:bCs/>
          <w:color w:val="auto"/>
          <w:highlight w:val="none"/>
          <w:lang w:val="en-US" w:eastAsia="zh-CN"/>
        </w:rPr>
        <w:t>成本目标：项目总投资</w:t>
      </w:r>
      <w:r>
        <w:rPr>
          <w:rFonts w:hint="eastAsia"/>
          <w:color w:val="auto"/>
          <w:highlight w:val="none"/>
        </w:rPr>
        <w:t>3479.85</w:t>
      </w:r>
      <w:r>
        <w:rPr>
          <w:rFonts w:hint="eastAsia"/>
          <w:bCs/>
          <w:color w:val="auto"/>
          <w:highlight w:val="none"/>
          <w:lang w:val="en-US" w:eastAsia="zh-CN"/>
        </w:rPr>
        <w:t>万元。</w:t>
      </w:r>
    </w:p>
    <w:p w14:paraId="779BA842">
      <w:pPr>
        <w:pageBreakBefore w:val="0"/>
        <w:kinsoku/>
        <w:wordWrap/>
        <w:overflowPunct/>
        <w:topLinePunct w:val="0"/>
        <w:autoSpaceDE/>
        <w:autoSpaceDN/>
        <w:bidi w:val="0"/>
        <w:adjustRightInd w:val="0"/>
        <w:snapToGrid w:val="0"/>
        <w:spacing w:before="10" w:after="217" w:afterLines="50" w:line="360" w:lineRule="auto"/>
        <w:ind w:firstLine="643" w:firstLineChars="200"/>
        <w:outlineLvl w:val="1"/>
        <w:rPr>
          <w:rFonts w:hint="default" w:eastAsia="楷体_GB2312"/>
          <w:color w:val="auto"/>
          <w:kern w:val="0"/>
          <w:highlight w:val="none"/>
          <w:lang w:val="en-US" w:eastAsia="zh-CN"/>
        </w:rPr>
      </w:pP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CN"/>
        </w:rPr>
        <w:t>二</w:t>
      </w: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CN"/>
        </w:rPr>
        <w:t>效益目标</w:t>
      </w:r>
    </w:p>
    <w:p w14:paraId="188806D2">
      <w:pPr>
        <w:pageBreakBefore w:val="0"/>
        <w:kinsoku/>
        <w:wordWrap/>
        <w:overflowPunct/>
        <w:topLinePunct w:val="0"/>
        <w:autoSpaceDE/>
        <w:autoSpaceDN/>
        <w:bidi w:val="0"/>
        <w:adjustRightInd w:val="0"/>
        <w:snapToGrid w:val="0"/>
        <w:spacing w:line="360" w:lineRule="auto"/>
        <w:ind w:firstLine="480" w:firstLineChars="200"/>
        <w:rPr>
          <w:rFonts w:hint="eastAsia"/>
          <w:bCs/>
          <w:color w:val="auto"/>
          <w:highlight w:val="none"/>
          <w:u w:val="none"/>
        </w:rPr>
      </w:pPr>
      <w:r>
        <w:rPr>
          <w:rFonts w:hint="eastAsia"/>
          <w:color w:val="auto"/>
          <w:kern w:val="0"/>
          <w:highlight w:val="none"/>
          <w:lang w:val="en-US" w:eastAsia="zh-CN"/>
        </w:rPr>
        <w:t>经济效益目标：花源自来水厂取水保障工程</w:t>
      </w:r>
      <w:r>
        <w:rPr>
          <w:rFonts w:hint="eastAsia"/>
          <w:color w:val="auto"/>
          <w:highlight w:val="none"/>
        </w:rPr>
        <w:t>收入来源主要为项目建成后供水收入，包含居民生活用水收入、特种行业用水收入和非居民用水收入，待本项目全部</w:t>
      </w:r>
      <w:r>
        <w:rPr>
          <w:rFonts w:hint="eastAsia"/>
          <w:color w:val="auto"/>
          <w:highlight w:val="none"/>
          <w:u w:val="none"/>
        </w:rPr>
        <w:t>2700.00万元专项债到期时，在偿还到期的融资本息后，将仍有1313.78万元的累计现金结余。项目预期收益可用以偿还债务本息，实现资金平衡，</w:t>
      </w:r>
      <w:r>
        <w:rPr>
          <w:bCs/>
          <w:color w:val="auto"/>
          <w:kern w:val="0"/>
          <w:highlight w:val="none"/>
          <w:u w:val="none"/>
        </w:rPr>
        <w:t>其中：项目债券本息覆盖倍数为1.</w:t>
      </w:r>
      <w:r>
        <w:rPr>
          <w:rFonts w:hint="default"/>
          <w:bCs/>
          <w:color w:val="auto"/>
          <w:kern w:val="0"/>
          <w:highlight w:val="none"/>
          <w:u w:val="none"/>
        </w:rPr>
        <w:t>2</w:t>
      </w:r>
      <w:r>
        <w:rPr>
          <w:rFonts w:hint="eastAsia"/>
          <w:bCs/>
          <w:color w:val="auto"/>
          <w:kern w:val="0"/>
          <w:highlight w:val="none"/>
          <w:u w:val="none"/>
          <w:lang w:val="en-US" w:eastAsia="zh-CN"/>
        </w:rPr>
        <w:t>3</w:t>
      </w:r>
      <w:r>
        <w:rPr>
          <w:bCs/>
          <w:color w:val="auto"/>
          <w:kern w:val="0"/>
          <w:highlight w:val="none"/>
          <w:u w:val="none"/>
        </w:rPr>
        <w:t>倍</w:t>
      </w:r>
      <w:r>
        <w:rPr>
          <w:rFonts w:hint="eastAsia"/>
          <w:bCs/>
          <w:color w:val="auto"/>
          <w:highlight w:val="none"/>
          <w:u w:val="none"/>
        </w:rPr>
        <w:t>。</w:t>
      </w:r>
    </w:p>
    <w:p w14:paraId="67DB3E45">
      <w:pPr>
        <w:pageBreakBefore w:val="0"/>
        <w:kinsoku/>
        <w:wordWrap/>
        <w:overflowPunct/>
        <w:topLinePunct w:val="0"/>
        <w:autoSpaceDE/>
        <w:autoSpaceDN/>
        <w:bidi w:val="0"/>
        <w:adjustRightInd w:val="0"/>
        <w:snapToGrid w:val="0"/>
        <w:spacing w:line="360" w:lineRule="auto"/>
        <w:ind w:firstLine="480" w:firstLineChars="200"/>
        <w:rPr>
          <w:rFonts w:hint="eastAsia"/>
          <w:bCs/>
          <w:color w:val="auto"/>
          <w:highlight w:val="none"/>
          <w:u w:val="none"/>
        </w:rPr>
      </w:pPr>
      <w:r>
        <w:rPr>
          <w:rFonts w:hint="eastAsia"/>
          <w:bCs/>
          <w:color w:val="auto"/>
          <w:highlight w:val="none"/>
          <w:u w:val="none"/>
          <w:lang w:val="en-US" w:eastAsia="zh-CN"/>
        </w:rPr>
        <w:t>社会效益目标：</w:t>
      </w:r>
      <w:r>
        <w:rPr>
          <w:rFonts w:hint="eastAsia"/>
          <w:color w:val="auto"/>
          <w:highlight w:val="none"/>
          <w:u w:val="none"/>
          <w:lang w:eastAsia="zh-CN"/>
        </w:rPr>
        <w:t>城镇的市政建设、乡镇污水处理厂的建设是城镇发展建设与环境保护的重要组成部分，它将大大改善城镇自然环境，有利于城镇的招商引资</w:t>
      </w:r>
      <w:r>
        <w:rPr>
          <w:rFonts w:hint="eastAsia"/>
          <w:bCs/>
          <w:color w:val="auto"/>
          <w:highlight w:val="none"/>
          <w:u w:val="none"/>
        </w:rPr>
        <w:t>。</w:t>
      </w:r>
    </w:p>
    <w:p w14:paraId="479DA4C9">
      <w:pPr>
        <w:pageBreakBefore w:val="0"/>
        <w:kinsoku/>
        <w:wordWrap/>
        <w:overflowPunct/>
        <w:topLinePunct w:val="0"/>
        <w:autoSpaceDE/>
        <w:autoSpaceDN/>
        <w:bidi w:val="0"/>
        <w:adjustRightInd w:val="0"/>
        <w:snapToGrid w:val="0"/>
        <w:spacing w:line="360" w:lineRule="auto"/>
        <w:ind w:firstLine="480" w:firstLineChars="200"/>
        <w:rPr>
          <w:rFonts w:hint="eastAsia" w:eastAsia="仿宋"/>
          <w:color w:val="auto"/>
          <w:highlight w:val="none"/>
          <w:u w:val="none"/>
          <w:lang w:eastAsia="zh-CN"/>
        </w:rPr>
      </w:pPr>
      <w:r>
        <w:rPr>
          <w:rFonts w:hint="eastAsia"/>
          <w:bCs/>
          <w:color w:val="auto"/>
          <w:highlight w:val="none"/>
          <w:u w:val="none"/>
          <w:lang w:val="en-US" w:eastAsia="zh-CN"/>
        </w:rPr>
        <w:t>可持续影响目标：</w:t>
      </w:r>
      <w:r>
        <w:rPr>
          <w:color w:val="auto"/>
          <w:highlight w:val="none"/>
          <w:u w:val="none"/>
        </w:rPr>
        <w:t>改善人们的居住与生存条件，维护社会安定团结，提升城市环境吸引力，赢得更多的发展机遇</w:t>
      </w:r>
      <w:r>
        <w:rPr>
          <w:rFonts w:hint="eastAsia"/>
          <w:color w:val="auto"/>
          <w:highlight w:val="none"/>
          <w:u w:val="none"/>
          <w:lang w:eastAsia="zh-CN"/>
        </w:rPr>
        <w:t>。</w:t>
      </w:r>
    </w:p>
    <w:p w14:paraId="01FC456D">
      <w:pPr>
        <w:spacing w:before="10" w:after="217" w:afterLines="50" w:line="360" w:lineRule="auto"/>
        <w:ind w:firstLine="643" w:firstLineChars="200"/>
        <w:outlineLvl w:val="1"/>
        <w:rPr>
          <w:rFonts w:hint="eastAsia"/>
          <w:color w:val="auto"/>
          <w:highlight w:val="none"/>
          <w:lang w:val="en-US" w:eastAsia="zh-CN"/>
        </w:rPr>
      </w:pP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Hans"/>
        </w:rPr>
        <w:t>三</w:t>
      </w: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Hans"/>
        </w:rPr>
        <w:t>满意度</w:t>
      </w:r>
      <w:r>
        <w:rPr>
          <w:rFonts w:hint="eastAsia" w:ascii="楷体_GB2312" w:eastAsia="楷体_GB2312"/>
          <w:b/>
          <w:color w:val="auto"/>
          <w:sz w:val="32"/>
          <w:szCs w:val="32"/>
          <w:highlight w:val="none"/>
          <w:lang w:val="en-US" w:eastAsia="zh-CN"/>
        </w:rPr>
        <w:t>目标</w:t>
      </w:r>
    </w:p>
    <w:p w14:paraId="12A061F1">
      <w:pPr>
        <w:pageBreakBefore w:val="0"/>
        <w:kinsoku/>
        <w:wordWrap/>
        <w:overflowPunct/>
        <w:topLinePunct w:val="0"/>
        <w:autoSpaceDE/>
        <w:autoSpaceDN/>
        <w:bidi w:val="0"/>
        <w:adjustRightInd w:val="0"/>
        <w:snapToGrid w:val="0"/>
        <w:spacing w:after="0" w:line="360" w:lineRule="auto"/>
        <w:ind w:firstLine="480" w:firstLineChars="200"/>
        <w:rPr>
          <w:rFonts w:hint="eastAsia" w:ascii="仿宋" w:hAnsi="仿宋"/>
          <w:bCs/>
          <w:color w:val="auto"/>
          <w:highlight w:val="none"/>
          <w:lang w:val="en-US" w:eastAsia="zh-CN"/>
        </w:rPr>
      </w:pPr>
      <w:r>
        <w:rPr>
          <w:rFonts w:hint="eastAsia" w:ascii="仿宋" w:hAnsi="仿宋"/>
          <w:bCs/>
          <w:color w:val="auto"/>
          <w:highlight w:val="none"/>
          <w:lang w:val="en-US" w:eastAsia="zh-CN"/>
        </w:rPr>
        <w:t>服务对象满意度目标：通过问卷调查等手段，获取满意度达到“良好/满意/80分”及以上。</w:t>
      </w:r>
    </w:p>
    <w:p w14:paraId="62DBD73E">
      <w:pPr>
        <w:spacing w:line="560" w:lineRule="exact"/>
        <w:ind w:firstLine="640"/>
        <w:rPr>
          <w:rFonts w:hint="eastAsia" w:ascii="黑体" w:hAnsi="黑体" w:eastAsia="黑体"/>
          <w:color w:val="auto"/>
          <w:sz w:val="32"/>
          <w:szCs w:val="32"/>
          <w:highlight w:val="none"/>
        </w:rPr>
      </w:pPr>
    </w:p>
    <w:p w14:paraId="4375B803">
      <w:pPr>
        <w:spacing w:line="560" w:lineRule="exact"/>
        <w:ind w:firstLine="640"/>
        <w:rPr>
          <w:rFonts w:hint="eastAsia" w:ascii="黑体" w:hAnsi="黑体" w:eastAsia="黑体"/>
          <w:color w:val="auto"/>
          <w:sz w:val="32"/>
          <w:szCs w:val="32"/>
          <w:highlight w:val="none"/>
        </w:rPr>
      </w:pPr>
    </w:p>
    <w:p w14:paraId="52B29A6F">
      <w:pPr>
        <w:spacing w:line="560" w:lineRule="exact"/>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六、潜在影响项目的风险评估</w:t>
      </w:r>
    </w:p>
    <w:p w14:paraId="0AED0EBE">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（一）影响项目施工进度或正常运营的风险及控制措施</w:t>
      </w:r>
    </w:p>
    <w:p w14:paraId="4B7380AB">
      <w:pPr>
        <w:ind w:firstLine="480"/>
        <w:rPr>
          <w:color w:val="auto"/>
          <w:highlight w:val="none"/>
        </w:rPr>
      </w:pPr>
      <w:r>
        <w:rPr>
          <w:rFonts w:hint="eastAsia"/>
          <w:color w:val="auto"/>
          <w:highlight w:val="none"/>
        </w:rPr>
        <w:t>对于不可抗力风险、施工方的风险、设计单位的风险、供应商的风险、资金落实风险、工程事故风险等影响施工进度或正常运营的风险，项目相关机构将采取对地块所处自然环境进行充分论证；选取有相应资质、业绩良好、经验丰富的施工单位；对供应商的资质、商业信誉和财务会计制度进行严格审查；做好现场的安全管理工作等措施予以控制。</w:t>
      </w:r>
    </w:p>
    <w:p w14:paraId="3CA4D428">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（二）影响项目收益的风险及控制措施</w:t>
      </w:r>
    </w:p>
    <w:p w14:paraId="6C022A81">
      <w:pPr>
        <w:ind w:firstLine="480"/>
        <w:rPr>
          <w:color w:val="auto"/>
          <w:highlight w:val="none"/>
        </w:rPr>
      </w:pPr>
      <w:r>
        <w:rPr>
          <w:rFonts w:hint="eastAsia"/>
          <w:color w:val="auto"/>
          <w:highlight w:val="none"/>
        </w:rPr>
        <w:t>对于经营风险、财务风险等影响项目收益的风险，项目相关机构将全面分析国家项目相关的政策、法律、制度的发展变化；设立项目资金管理专户等措施予以控制。</w:t>
      </w:r>
    </w:p>
    <w:p w14:paraId="55DE9C67">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（三）影响融资平衡结果的风险及控制措施</w:t>
      </w:r>
    </w:p>
    <w:p w14:paraId="1B8EBE2B">
      <w:pPr>
        <w:ind w:firstLine="480"/>
        <w:rPr>
          <w:rFonts w:hint="eastAsia"/>
          <w:color w:val="auto"/>
          <w:highlight w:val="none"/>
        </w:rPr>
      </w:pPr>
      <w:r>
        <w:rPr>
          <w:rFonts w:hint="eastAsia"/>
          <w:color w:val="auto"/>
          <w:highlight w:val="none"/>
        </w:rPr>
        <w:t>对于投资测算不准确风险、利率波动风险等影响项目收益的风险，项目相关机构将采取根据稳健性原则适当计入一定比例的不可预见费；定期对估算投资进行审核验证、调整；做好现金流监测，充分利用资金、做好还款计划和还款准备等措施予以控制。</w:t>
      </w:r>
    </w:p>
    <w:p w14:paraId="14C1E029">
      <w:pPr>
        <w:pStyle w:val="14"/>
        <w:rPr>
          <w:color w:val="auto"/>
          <w:highlight w:val="none"/>
        </w:rPr>
      </w:pPr>
    </w:p>
    <w:p w14:paraId="45758122">
      <w:pPr>
        <w:spacing w:line="560" w:lineRule="exact"/>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七、还款保障情况</w:t>
      </w:r>
    </w:p>
    <w:p w14:paraId="7E9AA024">
      <w:pPr>
        <w:ind w:firstLine="480"/>
        <w:rPr>
          <w:rFonts w:hint="eastAsia"/>
          <w:color w:val="auto"/>
          <w:highlight w:val="none"/>
          <w:lang w:val="zh-CN"/>
        </w:rPr>
      </w:pPr>
      <w:r>
        <w:rPr>
          <w:rFonts w:hint="eastAsia"/>
          <w:color w:val="auto"/>
          <w:highlight w:val="none"/>
          <w:lang w:val="zh-CN"/>
        </w:rPr>
        <w:t>按照《国务院办公厅关于印发地方政府性债务风险应急处置预案的通知》（国办函〔</w:t>
      </w:r>
      <w:r>
        <w:rPr>
          <w:color w:val="auto"/>
          <w:highlight w:val="none"/>
          <w:lang w:val="zh-CN"/>
        </w:rPr>
        <w:t>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w:t>
      </w:r>
      <w:r>
        <w:rPr>
          <w:rFonts w:hint="eastAsia"/>
          <w:color w:val="auto"/>
          <w:highlight w:val="none"/>
          <w:lang w:val="zh-CN"/>
        </w:rPr>
        <w:t>扣回。</w:t>
      </w:r>
    </w:p>
    <w:p w14:paraId="479AB939">
      <w:pPr>
        <w:pStyle w:val="14"/>
        <w:rPr>
          <w:color w:val="auto"/>
          <w:highlight w:val="none"/>
          <w:lang w:val="zh-CN"/>
        </w:rPr>
      </w:pPr>
    </w:p>
    <w:p w14:paraId="1D8C8905">
      <w:pPr>
        <w:spacing w:line="560" w:lineRule="exact"/>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八、主管部门职责和项目单位职责</w:t>
      </w:r>
    </w:p>
    <w:p w14:paraId="25EA52B0">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（一）主管部门职责</w:t>
      </w:r>
    </w:p>
    <w:p w14:paraId="16BAE23E">
      <w:pPr>
        <w:ind w:firstLine="480"/>
        <w:rPr>
          <w:color w:val="auto"/>
          <w:highlight w:val="none"/>
        </w:rPr>
      </w:pPr>
      <w:r>
        <w:rPr>
          <w:rFonts w:hint="eastAsia"/>
          <w:color w:val="auto"/>
          <w:highlight w:val="none"/>
        </w:rPr>
        <w:t>本项目的主管部门是</w:t>
      </w:r>
      <w:r>
        <w:rPr>
          <w:rFonts w:hint="eastAsia"/>
          <w:color w:val="auto"/>
          <w:highlight w:val="none"/>
          <w:lang w:val="en-US" w:eastAsia="zh-CN"/>
        </w:rPr>
        <w:t>成都市新津区水务局</w:t>
      </w:r>
      <w:r>
        <w:rPr>
          <w:rFonts w:hint="eastAsia"/>
          <w:color w:val="auto"/>
          <w:highlight w:val="none"/>
        </w:rPr>
        <w:t>，其职责为：</w:t>
      </w:r>
    </w:p>
    <w:p w14:paraId="139F74DC">
      <w:pPr>
        <w:ind w:firstLine="480"/>
        <w:rPr>
          <w:color w:val="auto"/>
          <w:highlight w:val="none"/>
        </w:rPr>
      </w:pPr>
      <w:r>
        <w:rPr>
          <w:rFonts w:hint="eastAsia"/>
          <w:color w:val="auto"/>
          <w:highlight w:val="none"/>
        </w:rPr>
        <w:t>1</w:t>
      </w:r>
      <w:r>
        <w:rPr>
          <w:color w:val="auto"/>
          <w:highlight w:val="none"/>
        </w:rPr>
        <w:t>.</w:t>
      </w:r>
      <w:r>
        <w:rPr>
          <w:rFonts w:hint="eastAsia"/>
          <w:color w:val="auto"/>
          <w:highlight w:val="none"/>
        </w:rPr>
        <w:t>认真履行项目建设、运营和维护责任，确保项目如期建设、如期投入运营，早日实现持续稳定的收益。</w:t>
      </w:r>
    </w:p>
    <w:p w14:paraId="05A40CB4">
      <w:pPr>
        <w:ind w:firstLine="480"/>
        <w:rPr>
          <w:color w:val="auto"/>
          <w:highlight w:val="none"/>
        </w:rPr>
      </w:pPr>
      <w:r>
        <w:rPr>
          <w:rFonts w:hint="eastAsia"/>
          <w:color w:val="auto"/>
          <w:highlight w:val="none"/>
        </w:rPr>
        <w:t>2</w:t>
      </w:r>
      <w:r>
        <w:rPr>
          <w:color w:val="auto"/>
          <w:highlight w:val="none"/>
        </w:rPr>
        <w:t>.</w:t>
      </w:r>
      <w:r>
        <w:rPr>
          <w:rFonts w:hint="eastAsia"/>
          <w:color w:val="auto"/>
          <w:highlight w:val="none"/>
        </w:rPr>
        <w:t>监督指导建设运营主体规范使用本专项债券资金，对发现的违法违规资金使用进行严肃处理和责任追究。</w:t>
      </w:r>
    </w:p>
    <w:p w14:paraId="6C128088">
      <w:pPr>
        <w:ind w:firstLine="480"/>
        <w:rPr>
          <w:color w:val="auto"/>
          <w:highlight w:val="none"/>
        </w:rPr>
      </w:pPr>
      <w:r>
        <w:rPr>
          <w:rFonts w:hint="eastAsia"/>
          <w:color w:val="auto"/>
          <w:highlight w:val="none"/>
        </w:rPr>
        <w:t>3</w:t>
      </w:r>
      <w:r>
        <w:rPr>
          <w:color w:val="auto"/>
          <w:highlight w:val="none"/>
        </w:rPr>
        <w:t>.</w:t>
      </w:r>
      <w:r>
        <w:rPr>
          <w:rFonts w:hint="eastAsia"/>
          <w:color w:val="auto"/>
          <w:highlight w:val="none"/>
        </w:rPr>
        <w:t>配合做好债券对应项目形成资产的登记管理工作，做好日常统计和动态监控；确保项目资产独立性和确认资产权益归属，严禁专项债券对应资产和权益用于为融资平台公司等企业融资提供担保和抵押，不对专项债券对应项目资产进行转移和划拨注入企业。</w:t>
      </w:r>
    </w:p>
    <w:p w14:paraId="198EC6BB">
      <w:pPr>
        <w:ind w:firstLine="480"/>
        <w:rPr>
          <w:color w:val="auto"/>
          <w:highlight w:val="none"/>
        </w:rPr>
      </w:pPr>
      <w:r>
        <w:rPr>
          <w:rFonts w:hint="eastAsia"/>
          <w:color w:val="auto"/>
          <w:highlight w:val="none"/>
        </w:rPr>
        <w:t>4</w:t>
      </w:r>
      <w:r>
        <w:rPr>
          <w:color w:val="auto"/>
          <w:highlight w:val="none"/>
        </w:rPr>
        <w:t>.</w:t>
      </w:r>
      <w:r>
        <w:rPr>
          <w:rFonts w:hint="eastAsia"/>
          <w:color w:val="auto"/>
          <w:highlight w:val="none"/>
        </w:rPr>
        <w:t>在门户网站等及时披露专项债券对应的项目概况、项目预期收益和融资平衡方案、专项债券规模和期限、发行计划安排、还本付息等信息。</w:t>
      </w:r>
    </w:p>
    <w:p w14:paraId="01A81E4E">
      <w:pPr>
        <w:spacing w:line="560" w:lineRule="exact"/>
        <w:ind w:firstLine="643"/>
        <w:rPr>
          <w:rFonts w:ascii="楷体_GB2312" w:hAnsi="Calibri" w:eastAsia="楷体_GB2312"/>
          <w:b/>
          <w:color w:val="auto"/>
          <w:sz w:val="32"/>
          <w:szCs w:val="32"/>
          <w:highlight w:val="none"/>
        </w:rPr>
      </w:pPr>
      <w:r>
        <w:rPr>
          <w:rFonts w:hint="eastAsia" w:ascii="楷体_GB2312" w:hAnsi="Calibri" w:eastAsia="楷体_GB2312"/>
          <w:b/>
          <w:color w:val="auto"/>
          <w:sz w:val="32"/>
          <w:szCs w:val="32"/>
          <w:highlight w:val="none"/>
        </w:rPr>
        <w:t>（二）项目单位职责</w:t>
      </w:r>
    </w:p>
    <w:p w14:paraId="54F5DF12">
      <w:pPr>
        <w:ind w:firstLine="480"/>
        <w:rPr>
          <w:color w:val="auto"/>
          <w:highlight w:val="none"/>
        </w:rPr>
      </w:pPr>
      <w:r>
        <w:rPr>
          <w:rFonts w:hint="eastAsia"/>
          <w:color w:val="auto"/>
          <w:highlight w:val="none"/>
        </w:rPr>
        <w:t>本项目的业主单位是</w:t>
      </w:r>
      <w:r>
        <w:rPr>
          <w:rFonts w:hint="eastAsia"/>
          <w:color w:val="auto"/>
          <w:highlight w:val="none"/>
          <w:lang w:val="en-US" w:eastAsia="zh-CN"/>
        </w:rPr>
        <w:t>成都市普兴岷江新城水电安装工程有限公司</w:t>
      </w:r>
      <w:r>
        <w:rPr>
          <w:rFonts w:hint="eastAsia"/>
          <w:color w:val="auto"/>
          <w:highlight w:val="none"/>
        </w:rPr>
        <w:t>，其职责为：</w:t>
      </w:r>
    </w:p>
    <w:p w14:paraId="105D244B">
      <w:pPr>
        <w:ind w:firstLine="480"/>
        <w:rPr>
          <w:color w:val="auto"/>
          <w:highlight w:val="none"/>
        </w:rPr>
      </w:pPr>
      <w:r>
        <w:rPr>
          <w:color w:val="auto"/>
          <w:highlight w:val="none"/>
        </w:rPr>
        <w:t>1.提出专项债券项目需求申请，编制报送项目实施方案及相关资料，配合做好债券发行准备。</w:t>
      </w:r>
    </w:p>
    <w:p w14:paraId="1100246A">
      <w:pPr>
        <w:ind w:firstLine="480"/>
        <w:rPr>
          <w:color w:val="auto"/>
          <w:highlight w:val="none"/>
        </w:rPr>
      </w:pPr>
      <w:r>
        <w:rPr>
          <w:color w:val="auto"/>
          <w:highlight w:val="none"/>
        </w:rPr>
        <w:t>2.规范使用债券资金，及时形成支出，提高资金使用效益。</w:t>
      </w:r>
    </w:p>
    <w:p w14:paraId="75AFA61A">
      <w:pPr>
        <w:ind w:firstLine="480"/>
        <w:rPr>
          <w:color w:val="auto"/>
          <w:highlight w:val="none"/>
        </w:rPr>
      </w:pPr>
      <w:r>
        <w:rPr>
          <w:color w:val="auto"/>
          <w:highlight w:val="none"/>
        </w:rPr>
        <w:t>3.定期评估项目成本、预期收益和对应资产价值等，发现风险或异常情况及时向主管部门报告。</w:t>
      </w:r>
    </w:p>
    <w:p w14:paraId="2AAF4519">
      <w:pPr>
        <w:ind w:firstLine="480"/>
        <w:rPr>
          <w:color w:val="auto"/>
          <w:highlight w:val="none"/>
        </w:rPr>
      </w:pPr>
      <w:r>
        <w:rPr>
          <w:color w:val="auto"/>
          <w:highlight w:val="none"/>
        </w:rPr>
        <w:t>4.向上级部门总结汇报项目实施情况，贯彻落实上级指示要求；研究解决项目实施中的其他重大问题。</w:t>
      </w:r>
    </w:p>
    <w:p w14:paraId="56E83AAB">
      <w:pPr>
        <w:pStyle w:val="14"/>
        <w:rPr>
          <w:color w:val="auto"/>
          <w:highlight w:val="none"/>
        </w:rPr>
      </w:pPr>
    </w:p>
    <w:p w14:paraId="67E05787">
      <w:pPr>
        <w:spacing w:line="560" w:lineRule="exact"/>
        <w:ind w:firstLine="640"/>
        <w:rPr>
          <w:b/>
          <w:bCs/>
          <w:color w:val="auto"/>
          <w:highlight w:val="none"/>
        </w:rPr>
      </w:pPr>
      <w:r>
        <w:rPr>
          <w:rFonts w:hint="eastAsia" w:ascii="黑体" w:hAnsi="黑体" w:eastAsia="黑体"/>
          <w:color w:val="auto"/>
          <w:sz w:val="32"/>
          <w:szCs w:val="32"/>
          <w:highlight w:val="none"/>
        </w:rPr>
        <w:t>九、补充说明</w:t>
      </w:r>
      <w:bookmarkEnd w:id="2"/>
    </w:p>
    <w:p w14:paraId="5961EF45">
      <w:pPr>
        <w:ind w:firstLine="480"/>
        <w:rPr>
          <w:color w:val="auto"/>
          <w:highlight w:val="none"/>
        </w:rPr>
      </w:pPr>
      <w:r>
        <w:rPr>
          <w:rFonts w:hint="eastAsia"/>
          <w:color w:val="auto"/>
          <w:highlight w:val="none"/>
        </w:rPr>
        <w:t>根据发行计划及额度安排</w:t>
      </w:r>
      <w:r>
        <w:rPr>
          <w:color w:val="auto"/>
          <w:highlight w:val="none"/>
        </w:rPr>
        <w:t>,此项目202</w:t>
      </w:r>
      <w:r>
        <w:rPr>
          <w:rFonts w:hint="eastAsia"/>
          <w:color w:val="auto"/>
          <w:highlight w:val="none"/>
          <w:lang w:val="en-US" w:eastAsia="zh-CN"/>
        </w:rPr>
        <w:t>5</w:t>
      </w:r>
      <w:r>
        <w:rPr>
          <w:color w:val="auto"/>
          <w:highlight w:val="none"/>
        </w:rPr>
        <w:t>年拟申请发行</w:t>
      </w:r>
      <w:r>
        <w:rPr>
          <w:rFonts w:hint="eastAsia"/>
          <w:color w:val="auto"/>
          <w:highlight w:val="none"/>
          <w:lang w:val="en-US" w:eastAsia="zh-CN"/>
        </w:rPr>
        <w:t>1000.00</w:t>
      </w:r>
      <w:r>
        <w:rPr>
          <w:color w:val="auto"/>
          <w:highlight w:val="none"/>
        </w:rPr>
        <w:t>万元，本次拟发行</w:t>
      </w:r>
      <w:r>
        <w:rPr>
          <w:rFonts w:hint="eastAsia"/>
          <w:color w:val="auto"/>
          <w:highlight w:val="none"/>
          <w:lang w:val="en-US" w:eastAsia="zh-CN"/>
        </w:rPr>
        <w:t>500.00</w:t>
      </w:r>
      <w:r>
        <w:rPr>
          <w:color w:val="auto"/>
          <w:highlight w:val="none"/>
        </w:rPr>
        <w:t>万元，期限</w:t>
      </w:r>
      <w:r>
        <w:rPr>
          <w:rFonts w:hint="eastAsia"/>
          <w:color w:val="auto"/>
          <w:highlight w:val="none"/>
          <w:lang w:val="en-US" w:eastAsia="zh-CN"/>
        </w:rPr>
        <w:t>30</w:t>
      </w:r>
      <w:r>
        <w:rPr>
          <w:color w:val="auto"/>
          <w:highlight w:val="none"/>
        </w:rPr>
        <w:t>年。</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8EE9F7-B1C0-4A1B-8183-01984AB60C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3A51350-DE8C-4DC7-815F-1F7154FAD6C6}"/>
  </w:font>
  <w:font w:name="仿宋">
    <w:panose1 w:val="02010609060101010101"/>
    <w:charset w:val="86"/>
    <w:family w:val="modern"/>
    <w:pitch w:val="default"/>
    <w:sig w:usb0="800002BF" w:usb1="38CF7CFA" w:usb2="00000016" w:usb3="00000000" w:csb0="00040001" w:csb1="00000000"/>
    <w:embedRegular r:id="rId3" w:fontKey="{0896CF5D-EA0C-4203-B971-4EAFA7C051F5}"/>
  </w:font>
  <w:font w:name="楷体_GB2312">
    <w:panose1 w:val="02010609030101010101"/>
    <w:charset w:val="86"/>
    <w:family w:val="modern"/>
    <w:pitch w:val="default"/>
    <w:sig w:usb0="00000001" w:usb1="080E0000" w:usb2="00000000" w:usb3="00000000" w:csb0="00040000" w:csb1="00000000"/>
    <w:embedRegular r:id="rId4" w:fontKey="{E2DA580A-6D4B-4D24-8562-A97A835ACA0D}"/>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5" w:fontKey="{777F3B7D-DC14-4D28-B032-EF8CE2131B77}"/>
  </w:font>
  <w:font w:name="方正小标宋简体">
    <w:altName w:val="仿宋_GB2312"/>
    <w:panose1 w:val="03000509000000000000"/>
    <w:charset w:val="86"/>
    <w:family w:val="auto"/>
    <w:pitch w:val="default"/>
    <w:sig w:usb0="00000000" w:usb1="0000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WPSEMBED2">
    <w:panose1 w:val="02010609030101010101"/>
    <w:charset w:val="86"/>
    <w:family w:val="auto"/>
    <w:pitch w:val="default"/>
    <w:sig w:usb0="00000001" w:usb1="080E0000" w:usb2="00000000" w:usb3="00000000" w:csb0="00040000" w:csb1="00000000"/>
  </w:font>
  <w:font w:name="WPSEMBED1">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10AD8">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985C3">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C31B2">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8B547">
    <w:pPr>
      <w:pStyle w:val="9"/>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6F461">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90E97">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777E36"/>
    <w:multiLevelType w:val="singleLevel"/>
    <w:tmpl w:val="7D777E36"/>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trackRevisions w:val="1"/>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OTdjNWFkNzE1NGI0MWM3NmYwZTk1ZWMzNzNiYWIifQ=="/>
  </w:docVars>
  <w:rsids>
    <w:rsidRoot w:val="00511187"/>
    <w:rsid w:val="00043975"/>
    <w:rsid w:val="000A65E8"/>
    <w:rsid w:val="000B29E5"/>
    <w:rsid w:val="000C0B8B"/>
    <w:rsid w:val="00120219"/>
    <w:rsid w:val="001206A9"/>
    <w:rsid w:val="00123FE8"/>
    <w:rsid w:val="001C7F88"/>
    <w:rsid w:val="002012C5"/>
    <w:rsid w:val="002729D2"/>
    <w:rsid w:val="00274E56"/>
    <w:rsid w:val="002A6411"/>
    <w:rsid w:val="002E3649"/>
    <w:rsid w:val="00312739"/>
    <w:rsid w:val="0031331F"/>
    <w:rsid w:val="00331FD0"/>
    <w:rsid w:val="00374629"/>
    <w:rsid w:val="00374D6A"/>
    <w:rsid w:val="003C421E"/>
    <w:rsid w:val="003C7CC3"/>
    <w:rsid w:val="003D7D79"/>
    <w:rsid w:val="00401F8C"/>
    <w:rsid w:val="004257C2"/>
    <w:rsid w:val="0049076A"/>
    <w:rsid w:val="004B190A"/>
    <w:rsid w:val="004B5CEC"/>
    <w:rsid w:val="004D1630"/>
    <w:rsid w:val="004D2345"/>
    <w:rsid w:val="00511187"/>
    <w:rsid w:val="0052526C"/>
    <w:rsid w:val="00567C25"/>
    <w:rsid w:val="00570174"/>
    <w:rsid w:val="005C58CA"/>
    <w:rsid w:val="005D2888"/>
    <w:rsid w:val="005E10DC"/>
    <w:rsid w:val="005F3057"/>
    <w:rsid w:val="00614B0B"/>
    <w:rsid w:val="00615028"/>
    <w:rsid w:val="00622204"/>
    <w:rsid w:val="006E6AA2"/>
    <w:rsid w:val="00723816"/>
    <w:rsid w:val="007676AB"/>
    <w:rsid w:val="007B6674"/>
    <w:rsid w:val="0081477F"/>
    <w:rsid w:val="00826303"/>
    <w:rsid w:val="008820AF"/>
    <w:rsid w:val="008C36B2"/>
    <w:rsid w:val="008F0FA3"/>
    <w:rsid w:val="00916B43"/>
    <w:rsid w:val="0093189A"/>
    <w:rsid w:val="00995942"/>
    <w:rsid w:val="009A6AEE"/>
    <w:rsid w:val="009B1077"/>
    <w:rsid w:val="009B3F55"/>
    <w:rsid w:val="00A804BE"/>
    <w:rsid w:val="00AB4F6E"/>
    <w:rsid w:val="00AB5163"/>
    <w:rsid w:val="00AF5F9F"/>
    <w:rsid w:val="00AF6C07"/>
    <w:rsid w:val="00B543D8"/>
    <w:rsid w:val="00B70CCC"/>
    <w:rsid w:val="00B86133"/>
    <w:rsid w:val="00BA785D"/>
    <w:rsid w:val="00BB73A5"/>
    <w:rsid w:val="00BC43D9"/>
    <w:rsid w:val="00BE1F42"/>
    <w:rsid w:val="00BE2F03"/>
    <w:rsid w:val="00C573EA"/>
    <w:rsid w:val="00C87C46"/>
    <w:rsid w:val="00CB2856"/>
    <w:rsid w:val="00CB70FF"/>
    <w:rsid w:val="00D15A74"/>
    <w:rsid w:val="00D21F92"/>
    <w:rsid w:val="00D67EAF"/>
    <w:rsid w:val="00DF0C98"/>
    <w:rsid w:val="00E03246"/>
    <w:rsid w:val="00E32881"/>
    <w:rsid w:val="00E52722"/>
    <w:rsid w:val="00E53CF2"/>
    <w:rsid w:val="00EA0719"/>
    <w:rsid w:val="00EA1B05"/>
    <w:rsid w:val="00EA3402"/>
    <w:rsid w:val="00EF6843"/>
    <w:rsid w:val="00EF7DF3"/>
    <w:rsid w:val="00F17B2C"/>
    <w:rsid w:val="00F614DA"/>
    <w:rsid w:val="00F62E2E"/>
    <w:rsid w:val="00F67CF9"/>
    <w:rsid w:val="00F85E3A"/>
    <w:rsid w:val="00F91DA4"/>
    <w:rsid w:val="00F949F3"/>
    <w:rsid w:val="00FB6832"/>
    <w:rsid w:val="00FC6E4C"/>
    <w:rsid w:val="00FD2A48"/>
    <w:rsid w:val="00FD5D0D"/>
    <w:rsid w:val="00FE67E4"/>
    <w:rsid w:val="048F44A4"/>
    <w:rsid w:val="097F1E27"/>
    <w:rsid w:val="0D9773A6"/>
    <w:rsid w:val="0EE83C31"/>
    <w:rsid w:val="103565DA"/>
    <w:rsid w:val="12F21C13"/>
    <w:rsid w:val="14327E28"/>
    <w:rsid w:val="14642729"/>
    <w:rsid w:val="17625D82"/>
    <w:rsid w:val="18BF0BE7"/>
    <w:rsid w:val="19930D22"/>
    <w:rsid w:val="1C0201C5"/>
    <w:rsid w:val="1C7B60E4"/>
    <w:rsid w:val="1DAC59AB"/>
    <w:rsid w:val="1E6A6411"/>
    <w:rsid w:val="207612CA"/>
    <w:rsid w:val="20801F1B"/>
    <w:rsid w:val="25201767"/>
    <w:rsid w:val="294302BA"/>
    <w:rsid w:val="29EE6148"/>
    <w:rsid w:val="2B807273"/>
    <w:rsid w:val="2FFD58B8"/>
    <w:rsid w:val="3A1B1FA5"/>
    <w:rsid w:val="3AFD5237"/>
    <w:rsid w:val="3E7E3A38"/>
    <w:rsid w:val="3FFD8044"/>
    <w:rsid w:val="426E273C"/>
    <w:rsid w:val="42D9753D"/>
    <w:rsid w:val="45FC4A4F"/>
    <w:rsid w:val="4680069B"/>
    <w:rsid w:val="49584F34"/>
    <w:rsid w:val="4B9B36D3"/>
    <w:rsid w:val="51012B0C"/>
    <w:rsid w:val="532F7F75"/>
    <w:rsid w:val="536E5A80"/>
    <w:rsid w:val="54752E3E"/>
    <w:rsid w:val="54F9581D"/>
    <w:rsid w:val="5C074916"/>
    <w:rsid w:val="5D5328F2"/>
    <w:rsid w:val="5E6D2FDC"/>
    <w:rsid w:val="5F750196"/>
    <w:rsid w:val="600F439D"/>
    <w:rsid w:val="635758DD"/>
    <w:rsid w:val="63E65214"/>
    <w:rsid w:val="67FC1454"/>
    <w:rsid w:val="68237C7D"/>
    <w:rsid w:val="6AFE36A7"/>
    <w:rsid w:val="6C1B518B"/>
    <w:rsid w:val="6CC764CB"/>
    <w:rsid w:val="6DFB3F5C"/>
    <w:rsid w:val="738F3CB5"/>
    <w:rsid w:val="76EF03D6"/>
    <w:rsid w:val="7779310C"/>
    <w:rsid w:val="79FF8168"/>
    <w:rsid w:val="7DB454DD"/>
    <w:rsid w:val="FEFB1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仿宋" w:hAnsi="仿宋" w:eastAsia="仿宋" w:cs="Times New Roman"/>
      <w:color w:val="000000"/>
      <w:kern w:val="2"/>
      <w:sz w:val="24"/>
      <w:szCs w:val="24"/>
      <w:lang w:val="en-US" w:eastAsia="zh-CN" w:bidi="ar-SA"/>
    </w:rPr>
  </w:style>
  <w:style w:type="paragraph" w:styleId="3">
    <w:name w:val="heading 1"/>
    <w:basedOn w:val="1"/>
    <w:next w:val="1"/>
    <w:link w:val="27"/>
    <w:qFormat/>
    <w:uiPriority w:val="9"/>
    <w:pPr>
      <w:spacing w:before="50" w:beforeLines="50" w:after="50" w:afterLines="50"/>
      <w:ind w:left="200" w:leftChars="200" w:firstLine="0" w:firstLineChars="0"/>
      <w:outlineLvl w:val="0"/>
    </w:pPr>
    <w:rPr>
      <w:rFonts w:ascii="黑体" w:eastAsia="黑体"/>
      <w:sz w:val="32"/>
    </w:rPr>
  </w:style>
  <w:style w:type="paragraph" w:styleId="4">
    <w:name w:val="heading 2"/>
    <w:basedOn w:val="1"/>
    <w:next w:val="1"/>
    <w:link w:val="28"/>
    <w:unhideWhenUsed/>
    <w:qFormat/>
    <w:uiPriority w:val="9"/>
    <w:pPr>
      <w:spacing w:before="50" w:beforeLines="50" w:after="50" w:afterLines="50"/>
      <w:ind w:left="200" w:leftChars="200" w:firstLine="0" w:firstLineChars="0"/>
      <w:outlineLvl w:val="1"/>
    </w:pPr>
    <w:rPr>
      <w:rFonts w:ascii="楷体_GB2312" w:eastAsia="楷体"/>
      <w:b/>
      <w:sz w:val="32"/>
    </w:rPr>
  </w:style>
  <w:style w:type="paragraph" w:styleId="5">
    <w:name w:val="heading 3"/>
    <w:basedOn w:val="1"/>
    <w:next w:val="1"/>
    <w:link w:val="29"/>
    <w:unhideWhenUsed/>
    <w:qFormat/>
    <w:uiPriority w:val="9"/>
    <w:pPr>
      <w:spacing w:before="50" w:beforeLines="50" w:after="50" w:afterLines="50"/>
      <w:ind w:left="200" w:leftChars="200" w:firstLine="0" w:firstLineChars="0"/>
      <w:outlineLvl w:val="2"/>
    </w:pPr>
    <w:rPr>
      <w:b/>
      <w:sz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0"/>
    <w:qFormat/>
    <w:uiPriority w:val="99"/>
    <w:pPr>
      <w:adjustRightInd w:val="0"/>
      <w:snapToGrid w:val="0"/>
      <w:spacing w:before="150" w:after="150" w:line="264" w:lineRule="auto"/>
      <w:ind w:firstLine="567"/>
    </w:pPr>
    <w:rPr>
      <w:rFonts w:ascii="华文楷体" w:hAnsi="华文楷体" w:eastAsia="LF_Kai"/>
      <w:kern w:val="0"/>
      <w:szCs w:val="20"/>
      <w:lang w:val="en-GB"/>
    </w:rPr>
  </w:style>
  <w:style w:type="paragraph" w:styleId="6">
    <w:name w:val="annotation text"/>
    <w:basedOn w:val="1"/>
    <w:link w:val="21"/>
    <w:unhideWhenUsed/>
    <w:qFormat/>
    <w:uiPriority w:val="99"/>
    <w:pPr>
      <w:jc w:val="left"/>
    </w:pPr>
  </w:style>
  <w:style w:type="paragraph" w:styleId="7">
    <w:name w:val="Balloon Text"/>
    <w:basedOn w:val="1"/>
    <w:link w:val="23"/>
    <w:semiHidden/>
    <w:unhideWhenUsed/>
    <w:qFormat/>
    <w:uiPriority w:val="99"/>
    <w:rPr>
      <w:sz w:val="18"/>
      <w:szCs w:val="18"/>
    </w:rPr>
  </w:style>
  <w:style w:type="paragraph" w:styleId="8">
    <w:name w:val="footer"/>
    <w:basedOn w:val="1"/>
    <w:link w:val="25"/>
    <w:unhideWhenUsed/>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left" w:pos="540"/>
        <w:tab w:val="right" w:leader="dot" w:pos="8296"/>
      </w:tabs>
      <w:adjustRightInd w:val="0"/>
      <w:snapToGrid w:val="0"/>
      <w:spacing w:before="120" w:after="120"/>
    </w:pPr>
    <w:rPr>
      <w:rFonts w:ascii="Calibri" w:hAnsi="Calibri" w:eastAsia="仿宋_GB2312" w:cs="Calibri"/>
      <w:b/>
      <w:bCs/>
      <w:caps/>
      <w:sz w:val="28"/>
      <w:szCs w:val="28"/>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Title"/>
    <w:basedOn w:val="1"/>
    <w:next w:val="1"/>
    <w:link w:val="26"/>
    <w:qFormat/>
    <w:uiPriority w:val="10"/>
    <w:pPr>
      <w:spacing w:before="156" w:beforeLines="50" w:after="312" w:afterLines="100"/>
      <w:ind w:firstLine="0" w:firstLineChars="0"/>
      <w:jc w:val="center"/>
    </w:pPr>
    <w:rPr>
      <w:rFonts w:ascii="方正小标宋简体" w:hAnsi="Calibri" w:eastAsia="方正小标宋简体"/>
      <w:sz w:val="40"/>
      <w:szCs w:val="40"/>
    </w:rPr>
  </w:style>
  <w:style w:type="paragraph" w:styleId="13">
    <w:name w:val="annotation subject"/>
    <w:basedOn w:val="6"/>
    <w:next w:val="6"/>
    <w:link w:val="22"/>
    <w:semiHidden/>
    <w:unhideWhenUsed/>
    <w:qFormat/>
    <w:uiPriority w:val="99"/>
    <w:rPr>
      <w:b/>
      <w:bCs/>
    </w:rPr>
  </w:style>
  <w:style w:type="paragraph" w:styleId="14">
    <w:name w:val="Body Text First Indent"/>
    <w:basedOn w:val="2"/>
    <w:next w:val="1"/>
    <w:unhideWhenUsed/>
    <w:qFormat/>
    <w:uiPriority w:val="99"/>
    <w:pPr>
      <w:spacing w:before="0" w:after="120" w:line="240" w:lineRule="auto"/>
      <w:ind w:firstLine="420" w:firstLineChars="100"/>
    </w:pPr>
    <w:rPr>
      <w:rFonts w:ascii="Times New Roman" w:hAnsi="Times New Roman" w:eastAsia="宋体"/>
      <w:sz w:val="21"/>
      <w:szCs w:val="24"/>
      <w:lang w:val="en-US"/>
    </w:rPr>
  </w:style>
  <w:style w:type="character" w:styleId="17">
    <w:name w:val="annotation reference"/>
    <w:basedOn w:val="16"/>
    <w:semiHidden/>
    <w:unhideWhenUsed/>
    <w:qFormat/>
    <w:uiPriority w:val="99"/>
    <w:rPr>
      <w:sz w:val="21"/>
      <w:szCs w:val="21"/>
    </w:rPr>
  </w:style>
  <w:style w:type="character" w:customStyle="1" w:styleId="18">
    <w:name w:val="Body text|2_"/>
    <w:link w:val="19"/>
    <w:qFormat/>
    <w:uiPriority w:val="0"/>
    <w:rPr>
      <w:rFonts w:ascii="PMingLiU" w:hAnsi="PMingLiU" w:eastAsia="PMingLiU" w:cs="PMingLiU"/>
      <w:sz w:val="22"/>
      <w:shd w:val="clear" w:color="auto" w:fill="FFFFFF"/>
    </w:rPr>
  </w:style>
  <w:style w:type="paragraph" w:customStyle="1" w:styleId="19">
    <w:name w:val="Body text|2"/>
    <w:basedOn w:val="1"/>
    <w:link w:val="18"/>
    <w:qFormat/>
    <w:uiPriority w:val="0"/>
    <w:pPr>
      <w:shd w:val="clear" w:color="auto" w:fill="FFFFFF"/>
      <w:spacing w:after="100" w:line="220" w:lineRule="exact"/>
      <w:jc w:val="left"/>
    </w:pPr>
    <w:rPr>
      <w:rFonts w:ascii="PMingLiU" w:hAnsi="PMingLiU" w:eastAsia="PMingLiU" w:cs="PMingLiU"/>
      <w:sz w:val="22"/>
    </w:rPr>
  </w:style>
  <w:style w:type="character" w:customStyle="1" w:styleId="20">
    <w:name w:val="正文文本 字符"/>
    <w:basedOn w:val="16"/>
    <w:link w:val="2"/>
    <w:qFormat/>
    <w:uiPriority w:val="99"/>
    <w:rPr>
      <w:rFonts w:ascii="华文楷体" w:hAnsi="华文楷体" w:eastAsia="LF_Kai" w:cs="Times New Roman"/>
      <w:kern w:val="0"/>
      <w:sz w:val="24"/>
      <w:szCs w:val="20"/>
      <w:lang w:val="en-GB"/>
    </w:rPr>
  </w:style>
  <w:style w:type="character" w:customStyle="1" w:styleId="21">
    <w:name w:val="批注文字 字符"/>
    <w:basedOn w:val="16"/>
    <w:link w:val="6"/>
    <w:qFormat/>
    <w:uiPriority w:val="99"/>
  </w:style>
  <w:style w:type="character" w:customStyle="1" w:styleId="22">
    <w:name w:val="批注主题 字符"/>
    <w:basedOn w:val="21"/>
    <w:link w:val="13"/>
    <w:semiHidden/>
    <w:qFormat/>
    <w:uiPriority w:val="99"/>
    <w:rPr>
      <w:b/>
      <w:bCs/>
    </w:rPr>
  </w:style>
  <w:style w:type="character" w:customStyle="1" w:styleId="23">
    <w:name w:val="批注框文本 字符"/>
    <w:basedOn w:val="16"/>
    <w:link w:val="7"/>
    <w:semiHidden/>
    <w:qFormat/>
    <w:uiPriority w:val="99"/>
    <w:rPr>
      <w:sz w:val="18"/>
      <w:szCs w:val="18"/>
    </w:rPr>
  </w:style>
  <w:style w:type="character" w:customStyle="1" w:styleId="24">
    <w:name w:val="页眉 字符"/>
    <w:basedOn w:val="16"/>
    <w:link w:val="9"/>
    <w:qFormat/>
    <w:uiPriority w:val="99"/>
    <w:rPr>
      <w:sz w:val="18"/>
      <w:szCs w:val="18"/>
    </w:rPr>
  </w:style>
  <w:style w:type="character" w:customStyle="1" w:styleId="25">
    <w:name w:val="页脚 字符"/>
    <w:basedOn w:val="16"/>
    <w:link w:val="8"/>
    <w:qFormat/>
    <w:uiPriority w:val="99"/>
    <w:rPr>
      <w:sz w:val="18"/>
      <w:szCs w:val="18"/>
    </w:rPr>
  </w:style>
  <w:style w:type="character" w:customStyle="1" w:styleId="26">
    <w:name w:val="标题 字符"/>
    <w:basedOn w:val="16"/>
    <w:link w:val="12"/>
    <w:qFormat/>
    <w:uiPriority w:val="10"/>
    <w:rPr>
      <w:rFonts w:ascii="方正小标宋简体" w:eastAsia="方正小标宋简体"/>
      <w:color w:val="000000"/>
      <w:kern w:val="2"/>
      <w:sz w:val="40"/>
      <w:szCs w:val="40"/>
    </w:rPr>
  </w:style>
  <w:style w:type="character" w:customStyle="1" w:styleId="27">
    <w:name w:val="标题 1 字符"/>
    <w:basedOn w:val="16"/>
    <w:link w:val="3"/>
    <w:qFormat/>
    <w:uiPriority w:val="9"/>
    <w:rPr>
      <w:rFonts w:ascii="黑体" w:hAnsi="仿宋" w:eastAsia="黑体"/>
      <w:color w:val="000000"/>
      <w:kern w:val="2"/>
      <w:sz w:val="32"/>
      <w:szCs w:val="24"/>
    </w:rPr>
  </w:style>
  <w:style w:type="character" w:customStyle="1" w:styleId="28">
    <w:name w:val="标题 2 字符"/>
    <w:basedOn w:val="16"/>
    <w:link w:val="4"/>
    <w:qFormat/>
    <w:uiPriority w:val="9"/>
    <w:rPr>
      <w:rFonts w:ascii="楷体_GB2312" w:hAnsi="仿宋" w:eastAsia="楷体"/>
      <w:b/>
      <w:color w:val="000000"/>
      <w:kern w:val="2"/>
      <w:sz w:val="32"/>
      <w:szCs w:val="24"/>
    </w:rPr>
  </w:style>
  <w:style w:type="character" w:customStyle="1" w:styleId="29">
    <w:name w:val="标题 3 字符"/>
    <w:basedOn w:val="16"/>
    <w:link w:val="5"/>
    <w:qFormat/>
    <w:uiPriority w:val="9"/>
    <w:rPr>
      <w:rFonts w:ascii="仿宋" w:hAnsi="仿宋" w:eastAsia="仿宋"/>
      <w:b/>
      <w:color w:val="000000"/>
      <w:kern w:val="2"/>
      <w:sz w:val="32"/>
      <w:szCs w:val="24"/>
    </w:rPr>
  </w:style>
  <w:style w:type="paragraph" w:customStyle="1" w:styleId="30">
    <w:name w:val="表格标题"/>
    <w:basedOn w:val="1"/>
    <w:link w:val="32"/>
    <w:qFormat/>
    <w:uiPriority w:val="0"/>
    <w:pPr>
      <w:ind w:firstLine="0" w:firstLineChars="0"/>
      <w:jc w:val="center"/>
    </w:pPr>
    <w:rPr>
      <w:b/>
      <w:sz w:val="21"/>
    </w:rPr>
  </w:style>
  <w:style w:type="paragraph" w:customStyle="1" w:styleId="31">
    <w:name w:val="表格内容"/>
    <w:basedOn w:val="1"/>
    <w:link w:val="34"/>
    <w:qFormat/>
    <w:uiPriority w:val="0"/>
    <w:pPr>
      <w:spacing w:line="240" w:lineRule="auto"/>
      <w:ind w:firstLine="0" w:firstLineChars="0"/>
      <w:jc w:val="center"/>
    </w:pPr>
    <w:rPr>
      <w:sz w:val="21"/>
      <w:szCs w:val="21"/>
    </w:rPr>
  </w:style>
  <w:style w:type="character" w:customStyle="1" w:styleId="32">
    <w:name w:val="表格标题 字符"/>
    <w:basedOn w:val="16"/>
    <w:link w:val="30"/>
    <w:qFormat/>
    <w:uiPriority w:val="0"/>
    <w:rPr>
      <w:rFonts w:ascii="仿宋" w:hAnsi="仿宋" w:eastAsia="仿宋"/>
      <w:b/>
      <w:color w:val="000000"/>
      <w:kern w:val="2"/>
      <w:sz w:val="21"/>
      <w:szCs w:val="24"/>
    </w:rPr>
  </w:style>
  <w:style w:type="paragraph" w:customStyle="1" w:styleId="33">
    <w:name w:val="表格内容2"/>
    <w:basedOn w:val="31"/>
    <w:link w:val="35"/>
    <w:qFormat/>
    <w:uiPriority w:val="0"/>
    <w:rPr>
      <w:sz w:val="16"/>
      <w:szCs w:val="16"/>
    </w:rPr>
  </w:style>
  <w:style w:type="character" w:customStyle="1" w:styleId="34">
    <w:name w:val="表格内容 字符"/>
    <w:basedOn w:val="16"/>
    <w:link w:val="31"/>
    <w:qFormat/>
    <w:uiPriority w:val="0"/>
    <w:rPr>
      <w:rFonts w:ascii="仿宋" w:hAnsi="仿宋" w:eastAsia="仿宋"/>
      <w:color w:val="000000"/>
      <w:kern w:val="2"/>
      <w:sz w:val="21"/>
      <w:szCs w:val="21"/>
    </w:rPr>
  </w:style>
  <w:style w:type="character" w:customStyle="1" w:styleId="35">
    <w:name w:val="表格内容2 字符"/>
    <w:basedOn w:val="34"/>
    <w:link w:val="33"/>
    <w:qFormat/>
    <w:uiPriority w:val="0"/>
    <w:rPr>
      <w:rFonts w:ascii="仿宋" w:hAnsi="仿宋" w:eastAsia="仿宋"/>
      <w:color w:val="000000"/>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2693</Words>
  <Characters>3828</Characters>
  <Lines>104</Lines>
  <Paragraphs>29</Paragraphs>
  <TotalTime>91</TotalTime>
  <ScaleCrop>false</ScaleCrop>
  <LinksUpToDate>false</LinksUpToDate>
  <CharactersWithSpaces>3861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2021-05-25T18:34:00Z</dcterms:created>
  <dc:creator>1124053244@qq.com</dc:creator>
  <cp:lastModifiedBy>Z</cp:lastModifiedBy>
  <dcterms:modified xsi:type="dcterms:W3CDTF">2025-12-29T08:19:48Z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4B62EB86364F486D8CF870184A3D8576</vt:lpwstr>
  </property>
  <property fmtid="{D5CDD505-2E9C-101B-9397-08002B2CF9AE}" pid="4" name="KSOTemplateDocerSaveRecord">
    <vt:lpwstr>eyJoZGlkIjoiNzI1MzljODBiNDliMzEyMzFlZWNlN2EzYjU0N2YzMWEiLCJ1c2VySWQiOiIyMzE3NjQzNDIifQ==</vt:lpwstr>
  </property>
</Properties>
</file>